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핵심광물 수급위기 진단·수요예측 시스템</w:t>
        <w:br/>
        <w:t>발주처 협의 안건서 (4건)</w:t>
      </w:r>
    </w:p>
    <w:p>
      <w:pPr>
        <w:jc w:val="center"/>
      </w:pPr>
      <w:r>
        <w:rPr>
          <w:sz w:val="20"/>
        </w:rPr>
        <w:t>2026-07-16  |  수행: 일루넥스</w:t>
        <w:br/>
        <w:t>본 안건서는 방법론 점검(2026-07-13) 후속 조치 중 발주처 결정·자료 협조가 필요한 항목을 정리한 것으로,</w:t>
        <w:br/>
        <w:t>기존 자료협조 목록(설계 정본 v1 §12의 8건)과 별개의 추가 안건임</w:t>
      </w:r>
    </w:p>
    <w:p/>
    <w:p>
      <w:r>
        <w:rPr>
          <w:b/>
          <w:sz w:val="24"/>
        </w:rPr>
        <w:t>안건 요약</w:t>
      </w:r>
    </w:p>
    <w:tbl>
      <w:tblPr>
        <w:tblStyle w:val="LightGrid-Accent1"/>
        <w:tblW w:type="auto" w:w="0"/>
        <w:tblLook w:firstColumn="1" w:firstRow="1" w:lastColumn="0" w:lastRow="0" w:noHBand="0" w:noVBand="1" w:val="04A0"/>
      </w:tblPr>
      <w:tblGrid>
        <w:gridCol w:w="4320"/>
        <w:gridCol w:w="4320"/>
      </w:tblGrid>
      <w:tr>
        <w:tc>
          <w:tcPr>
            <w:tcW w:type="dxa" w:w="1247"/>
          </w:tcPr>
          <w:p>
            <w:r>
              <w:rPr>
                <w:b/>
                <w:sz w:val="18"/>
              </w:rPr>
              <w:t>안건 1</w:t>
            </w:r>
          </w:p>
        </w:tc>
        <w:tc>
          <w:tcPr>
            <w:tcW w:type="dxa" w:w="7710"/>
          </w:tcPr>
          <w:p>
            <w:r>
              <w:rPr>
                <w:sz w:val="18"/>
              </w:rPr>
              <w:t>수급위기 에피소드 사례 목록 제공 협조 — 경보 라벨의 최종 검증 기준 확정용</w:t>
            </w:r>
          </w:p>
        </w:tc>
      </w:tr>
      <w:tr>
        <w:tc>
          <w:tcPr>
            <w:tcW w:type="dxa" w:w="1247"/>
          </w:tcPr>
          <w:p>
            <w:r>
              <w:rPr>
                <w:b/>
                <w:sz w:val="18"/>
              </w:rPr>
              <w:t>안건 2</w:t>
            </w:r>
          </w:p>
        </w:tc>
        <w:tc>
          <w:tcPr>
            <w:tcW w:type="dxa" w:w="7710"/>
          </w:tcPr>
          <w:p>
            <w:r>
              <w:rPr>
                <w:sz w:val="18"/>
              </w:rPr>
              <w:t>경보 운영의 미탐:오탐 비용 비율 합의 — 경보 민감도(임계)의 계약적 확정</w:t>
            </w:r>
          </w:p>
        </w:tc>
      </w:tr>
      <w:tr>
        <w:tc>
          <w:tcPr>
            <w:tcW w:type="dxa" w:w="1247"/>
          </w:tcPr>
          <w:p>
            <w:r>
              <w:rPr>
                <w:b/>
                <w:sz w:val="18"/>
              </w:rPr>
              <w:t>안건 3</w:t>
            </w:r>
          </w:p>
        </w:tc>
        <w:tc>
          <w:tcPr>
            <w:tcW w:type="dxa" w:w="7710"/>
          </w:tcPr>
          <w:p>
            <w:r>
              <w:rPr>
                <w:sz w:val="18"/>
              </w:rPr>
              <w:t>구리(CU) 경보 해석 방침 보고·승인 — 변동성 지표와의 구조적 탈동조 대응</w:t>
            </w:r>
          </w:p>
        </w:tc>
      </w:tr>
      <w:tr>
        <w:tc>
          <w:tcPr>
            <w:tcW w:type="dxa" w:w="1247"/>
          </w:tcPr>
          <w:p>
            <w:r>
              <w:rPr>
                <w:b/>
                <w:sz w:val="18"/>
              </w:rPr>
              <w:t>안건 4</w:t>
            </w:r>
          </w:p>
        </w:tc>
        <w:tc>
          <w:tcPr>
            <w:tcW w:type="dxa" w:w="7710"/>
          </w:tcPr>
          <w:p>
            <w:r>
              <w:rPr>
                <w:sz w:val="18"/>
              </w:rPr>
              <w:t>품목(HS) 수준 예측 제공 여부 확인 — 개발 범위 확정</w:t>
            </w:r>
          </w:p>
        </w:tc>
      </w:tr>
    </w:tbl>
    <w:p/>
    <w:p>
      <w:pPr>
        <w:pStyle w:val="Heading1"/>
      </w:pPr>
      <w:r>
        <w:t>안건 1. 수급위기 에피소드 사례 목록 제공 협조</w:t>
      </w:r>
    </w:p>
    <w:p>
      <w:r>
        <w:rPr>
          <w:b/>
          <w:sz w:val="20"/>
        </w:rPr>
        <w:t>배경</w:t>
      </w:r>
    </w:p>
    <w:p>
      <w:pPr>
        <w:pStyle w:val="ListBullet"/>
      </w:pPr>
      <w:r>
        <w:t>경보 체계의 학습 라벨(수급동향지표)은 발주처 제공 외생 지표로 독립성이 확보되어 있으나, "경보가 실제 위기를 선행하는가"의 최종 검증에는 관측 가능한 위기 사례 기준이 필요합니다.</w:t>
      </w:r>
    </w:p>
    <w:p>
      <w:pPr>
        <w:pStyle w:val="ListBullet"/>
      </w:pPr>
      <w:r>
        <w:t>수행사는 1차로 가격 급변 기반 대리 라벨을 구축해 리튬·니켈·희토류에서 경보의 선행성을 실증했습니다(AUC 0.90~0.99). 다만 대리 라벨은 가격 경로만 포착하므로, 실제 위기 사례 목록과의 교차검증이 라벨 정의를 확정하는 정석입니다.</w:t>
      </w:r>
    </w:p>
    <w:p>
      <w:r>
        <w:rPr>
          <w:b/>
          <w:sz w:val="20"/>
        </w:rPr>
        <w:t>요청 사항</w:t>
      </w:r>
    </w:p>
    <w:p>
      <w:pPr>
        <w:pStyle w:val="ListBullet"/>
      </w:pPr>
      <w:r>
        <w:t>발주처(또는 자원안보 담당 부서)가 인정하는 역사적 수급위기 에피소드 10~20건의 목록 — 광종, 시작·종료 시점(월 단위), 위기 등급(가능 시), 간략 사유.</w:t>
      </w:r>
    </w:p>
    <w:p>
      <w:pPr>
        <w:pStyle w:val="ListBullet"/>
      </w:pPr>
      <w:r>
        <w:t>예시 후보: 2010~11 중국 희토류 수출통제, 2021~22 리튬 가격 급등, 2022 LME 니켈 거래정지 사태, 2023~25 중국 갈륨·게르마늄·흑연·희토류 수출통제 계열 등.</w:t>
      </w:r>
    </w:p>
    <w:p>
      <w:r>
        <w:rPr>
          <w:b/>
          <w:sz w:val="20"/>
        </w:rPr>
        <w:t>결정·협조가 늦어질 경우</w:t>
      </w:r>
    </w:p>
    <w:p>
      <w:pPr>
        <w:pStyle w:val="ListBullet"/>
      </w:pPr>
      <w:r>
        <w:t>경보 라벨의 최종 정의가 대리 라벨(가격 경로) 단독 검증에 머물러, 감리 시 "라벨 타당성" 방어 논리가 한 축으로 제한됩니다. 모델 개발 진행 자체는 지장 없습니다.</w:t>
      </w:r>
    </w:p>
    <w:p>
      <w:pPr>
        <w:pStyle w:val="Heading1"/>
      </w:pPr>
      <w:r>
        <w:t>안건 2. 경보 운영의 미탐:오탐 비용 비율 합의</w:t>
      </w:r>
    </w:p>
    <w:p>
      <w:r>
        <w:rPr>
          <w:b/>
          <w:sz w:val="20"/>
        </w:rPr>
        <w:t>배경</w:t>
      </w:r>
    </w:p>
    <w:p>
      <w:pPr>
        <w:pStyle w:val="ListBullet"/>
      </w:pPr>
      <w:r>
        <w:t>경보 시스템은 두 오류 사이의 균형 위에 있습니다 — 미탐(위기를 놓침)과 오탐(허위 경보). 임계를 낮추면 미탐이 줄고 오탐이 늘며, 그 최적점은 통계가 아니라 "미탐 1건이 오탐 몇 건만큼 손실인가"라는 정책 판단이 정합니다.</w:t>
      </w:r>
    </w:p>
    <w:p>
      <w:pPr>
        <w:pStyle w:val="ListBullet"/>
      </w:pPr>
      <w:r>
        <w:t>수행사는 선행 예측(h=0~3개월) 전 지평의 성능표(적중률·허위경보율·미탐지율)를 실증 완료했고, 비용 비율이 정해지면 지평별 경보 임계를 비용 최소화 기준으로 규칙화할 준비가 되어 있습니다. 현행 허위경보율은 1.8% 이하로 낮게 유지되고 있습니다.</w:t>
      </w:r>
    </w:p>
    <w:p>
      <w:r>
        <w:rPr>
          <w:b/>
          <w:sz w:val="20"/>
        </w:rPr>
        <w:t>요청 사항</w:t>
      </w:r>
    </w:p>
    <w:p>
      <w:pPr>
        <w:pStyle w:val="ListBullet"/>
      </w:pPr>
      <w:r>
        <w:t>미탐 1건 : 오탐 N건의 비용 등가 비율 합의(예: 5:1 — 심각 위기 1건을 놓치는 손실을 허위 경보 5건의 대응 비용과 같게 봄). 광종별 차등도 가능(예: 희토류는 10:1).</w:t>
      </w:r>
    </w:p>
    <w:p>
      <w:pPr>
        <w:pStyle w:val="ListBullet"/>
      </w:pPr>
      <w:r>
        <w:t>합의된 비율은 경보 임계 산정의 계약적 근거 문서가 됩니다 — 이후 "경보가 너무 잦다/드물다" 논의를 정량 기준으로 환원할 수 있습니다.</w:t>
      </w:r>
    </w:p>
    <w:p>
      <w:r>
        <w:rPr>
          <w:b/>
          <w:sz w:val="20"/>
        </w:rPr>
        <w:t>결정이 늦어질 경우</w:t>
      </w:r>
    </w:p>
    <w:p>
      <w:pPr>
        <w:pStyle w:val="ListBullet"/>
      </w:pPr>
      <w:r>
        <w:t>현행 균형 임계(분위 컷 기준)로 운영 — 기술적 문제는 없으나, 경보 민감도가 발주처 정책 의도와 정렬됐다는 근거를 감리에 제시하기 어렵습니다.</w:t>
      </w:r>
    </w:p>
    <w:p>
      <w:pPr>
        <w:pStyle w:val="Heading1"/>
      </w:pPr>
      <w:r>
        <w:t>안건 3. 구리(CU) 경보 해석 방침 보고·승인</w:t>
      </w:r>
    </w:p>
    <w:p>
      <w:r>
        <w:rPr>
          <w:b/>
          <w:sz w:val="20"/>
        </w:rPr>
        <w:t>배경(조사 결과 보고)</w:t>
      </w:r>
    </w:p>
    <w:p>
      <w:pPr>
        <w:pStyle w:val="ListBullet"/>
      </w:pPr>
      <w:r>
        <w:t>검증 과정에서 구리만 경보와 가격 변동성 지표가 역방향으로 나타나는 현상을 발견해 원인을 조사했습니다. 결론: 모델 오류가 아니라, 구리 가격 변동성이 수급이 아닌 거시·투기 요인(LME 선물시장·환율·금리)에 지배되기 때문입니다 — 2020~26년 구리 변동성 급등 3건 전부 거시발(코로나 급락·회복, 미 연준 급속긴축)이었고, 실제 수급 사건(2024-05 국제 구리 숏스퀴즈)은 변동성 지표로는 포착되지 않았습니다.</w:t>
      </w:r>
    </w:p>
    <w:p>
      <w:pPr>
        <w:pStyle w:val="ListBullet"/>
      </w:pPr>
      <w:r>
        <w:t>대안 검정 결과, 구리의 수급 신호는 변동성이 아니라 선물 기간구조(백워데이션 진입)와 수입집중도에서 상대적으로 잘 나타납니다.</w:t>
      </w:r>
    </w:p>
    <w:p>
      <w:r>
        <w:rPr>
          <w:b/>
          <w:sz w:val="20"/>
        </w:rPr>
        <w:t>승인 요청 문안(보고서·운영 매뉴얼 공통 주석)</w:t>
      </w:r>
    </w:p>
    <w:p>
      <w:pPr>
        <w:pStyle w:val="ListBullet"/>
      </w:pPr>
      <w:r>
        <w:t>"구리(CU)의 수급위기 경보는 '가격 변동성' 결과와 역방향으로 나타나는데, 이는 모델 오류가 아니라 구리 가격 변동성이 수급이 아닌 거시·투기(LME 선물·환율) 요인에 지배되기 때문이다. 따라서 구리 경보는 변동성이 아닌 기간구조(백워데이션)·수입집중도와 함께 해석해야 하며, 변동성 급등만으로 수급위기를 판단해서는 안 된다."</w:t>
      </w:r>
    </w:p>
    <w:p>
      <w:r>
        <w:rPr>
          <w:b/>
          <w:sz w:val="20"/>
        </w:rPr>
        <w:t>결정 사항</w:t>
      </w:r>
    </w:p>
    <w:p>
      <w:pPr>
        <w:pStyle w:val="ListBullet"/>
      </w:pPr>
      <w:r>
        <w:t>위 해석 방침(주석 문안) 승인 여부, 및 구리 한정 보조 지표로 기간구조(백워데이션) 모니터링을 대시보드에 추가할지 여부.</w:t>
      </w:r>
    </w:p>
    <w:p>
      <w:pPr>
        <w:pStyle w:val="Heading1"/>
      </w:pPr>
      <w:r>
        <w:t>안건 4. 품목(HS) 수준 예측 제공 여부 확인</w:t>
      </w:r>
    </w:p>
    <w:p>
      <w:r>
        <w:rPr>
          <w:b/>
          <w:sz w:val="20"/>
        </w:rPr>
        <w:t>배경</w:t>
      </w:r>
    </w:p>
    <w:p>
      <w:pPr>
        <w:pStyle w:val="ListBullet"/>
      </w:pPr>
      <w:r>
        <w:t>현행 수입물량·수입액 예측은 광종 총량 수준(5광종 × 12개월)입니다. 품목 수준(HS 4단위 호, 광종당 3~19개 품목군)으로 세분한 예측의 기술 검증을 완료했습니다 — 품목별 예측을 합산하는 방식(bottom-up)이 품목·총량을 자동 정합시키면서 총량 정확도도 현행과 동급임을 확인.</w:t>
      </w:r>
    </w:p>
    <w:p>
      <w:pPr>
        <w:pStyle w:val="ListBullet"/>
      </w:pPr>
      <w:r>
        <w:t>즉 발주처가 원하면 "광종 총량 + 품목별 분해"를 함께 제공하는 구조로 확장 가능하며, 확장하지 않아도 현행 총량 예측의 품질에는 영향이 없습니다.</w:t>
      </w:r>
    </w:p>
    <w:p>
      <w:r>
        <w:rPr>
          <w:b/>
          <w:sz w:val="20"/>
        </w:rPr>
        <w:t>확인 요청</w:t>
      </w:r>
    </w:p>
    <w:p>
      <w:pPr>
        <w:pStyle w:val="ListBullet"/>
      </w:pPr>
      <w:r>
        <w:t>품목(HS 호) 수준의 수입 예측이 업무상 필요한지 여부 — 필요 시 대상 광종·품목 범위와 화면(대시보드/보고서) 요구사항.</w:t>
      </w:r>
    </w:p>
    <w:p>
      <w:r>
        <w:rPr>
          <w:b/>
          <w:sz w:val="20"/>
        </w:rPr>
        <w:t>결정 영향</w:t>
      </w:r>
    </w:p>
    <w:p>
      <w:pPr>
        <w:pStyle w:val="ListBullet"/>
      </w:pPr>
      <w:r>
        <w:t>필요 판정 시: 검증된 구조를 운영 파이프라인·DB 스키마·대시보드에 반영(개발 일정 추가 협의). 불필요 판정 시: 현행 총량 체계 유지(추가 작업 없음).</w:t>
      </w:r>
    </w:p>
    <w:p>
      <w:pPr>
        <w:pStyle w:val="Heading1"/>
      </w:pPr>
      <w:r>
        <w:t>참고: 기존 자료협조 목록과의 관계</w:t>
      </w:r>
    </w:p>
    <w:p>
      <w:r>
        <w:rPr>
          <w:b w:val="0"/>
          <w:sz w:val="19"/>
        </w:rPr>
        <w:t>본 4건은 방법론 점검(2026-07-13) 후속에서 새로 도출된 안건입니다. 설계 정본(mineral_risk_model_v1 §12)의 기존 자료협조 8건(학습 라벨용 가격급등 이벤트 자료, 필수변수 목록 확정, KOMIS 비정형 원천 제공 등)은 여전히 유효하며, 회의 시 함께 다루는 것을 권합니다. 상세 근거 자료는 「핵심광물 시스템 확정아키텍처·모델링정리 v1」 §5·§8 및 개별 검증 리포트에 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3B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3B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