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br/>
        <w:t>핵심광물 수급위기 진단·수요예측 시스템</w:t>
        <w:br/>
        <w:t>중간 진행 상황 보고</w:t>
      </w:r>
    </w:p>
    <w:p>
      <w:pPr>
        <w:jc w:val="center"/>
      </w:pPr>
      <w:r>
        <w:rPr>
          <w:sz w:val="22"/>
        </w:rPr>
        <w:br/>
        <w:t>보고일: 2026-07-16  |  수행: 일루넥스  |  납기: 2026-09</w:t>
        <w:br/>
        <w:t>대상 광종: 구리(CU) · 니켈(NI) · 코발트(CO) · 리튬(LI) · 희토류(REE, 대표원소 네오디뮴)</w:t>
      </w:r>
    </w:p>
    <w:p/>
    <w:p>
      <w:pPr>
        <w:pStyle w:val="Heading1"/>
      </w:pPr>
      <w:r>
        <w:t>1. 총괄 요약</w:t>
      </w:r>
    </w:p>
    <w:p>
      <w:r>
        <w:rPr>
          <w:b w:val="0"/>
          <w:sz w:val="20"/>
        </w:rPr>
        <w:t>2026-07-02 착수 이후 2주간 6단계에 걸쳐 시스템의 전 구간(수집 → LLM 전처리 → 지정학 위기지수 → 수급위기 진단·4단계 경보 → 12개월 수입물량·수입액 예측 → DB 발행·대시보드)을 실데이터로 가동하는 상태에 도달했다. 주간·월간 자동 실행 체인이 단일 명령으로 무인 완주함을 검증했고, 외부 방법론 점검(7/13)에서 제기된 16개 항목을 7/16까지 전부 처리(운영 반영 6·실증 5·평가 후 기각 3·조사 종결 2)해 감리 방어 체계를 갖췄다. 잔여 작업은 운영 서버 배포, 장기 고도화 3건, 발주처 협의 안건이며 납기 대비 여유가 있는 상태다.</w:t>
      </w:r>
    </w:p>
    <w:p>
      <w:pPr>
        <w:pStyle w:val="Heading1"/>
      </w:pPr>
      <w:r>
        <w:t>2. 진행 단계 타임라인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8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기간</w:t>
            </w:r>
          </w:p>
        </w:tc>
        <w:tc>
          <w:tcPr>
            <w:tcW w:type="dxa" w:w="5443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794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 정형 데이터 기반 구축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07-02~05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관세청(HS 161코드 바스켓)·한국은행 ECOS 수집기, warehouse DB, 정규화·피처·모델 골격, HS→광종 매핑 정본(CSV) 확정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 비정형(지정학) 수집·추출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07-06~08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뉴스·보고서 수집기 이식, 룰 기반 대비 LLM(사내 vLLM) 추출 우위 실측 후 전환, 2016+ 전체 보고서 코퍼스 처리(OCR 포함), 모델 설계 정본 v1 작성, 지수→진단마트 배선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 지수 체계 완성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07-09~12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NB2(포아송-감마) 확률화, GDELT GKG 벌크(36만 파일) LLM 전량 재검증 → 이벤트 원장 181만 건, 광종별 앵커 정규화·주/월/년 3주기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 수집·분석 분리 아키텍처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07-12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독립 수집기 도커(외부망) 신설, 미국 연방관보·중국 상무부 공시 수집 추가, 일자별 zip 번들 프로토콜(폐쇄망 유일 반입 경로), 연간 발행물의 연 단위 적용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 전 모델 실데이터 가동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07-12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실가격·교사신호 로딩, 진단모델 8후보 최적화, 4단계 경보+XAI, 대시보드, 예측 결과 DB화(외부 DB env 주입), 수입예측 v2(단가 분해), 주/월 자동 실행 체인 완결, 관세청 월간 백필 착수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6. 방법론 감사 대응·고도화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07-13~16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외부 점검 16개 항목 전부 처리 — 평가지표 표준화(WAPE·MASE), 경보 컷 절대화, 확률 보정, 학습표본 156개월 확대, 예측구간(conformal), 한국 특화 지수(이중 노출), 지수 정밀화 3종(v2), 선행성·민감도·개입효과 실증, 경보 규칙 재설계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7. 운영 배포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예정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수집 서버 도커 기동, 분석 서버(폐쇄망) 반입·cron 등록, 대시보드 일일 재생성 운영화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대기</w:t>
            </w:r>
          </w:p>
        </w:tc>
      </w:tr>
    </w:tbl>
    <w:p/>
    <w:p>
      <w:pPr>
        <w:pStyle w:val="Heading1"/>
      </w:pPr>
      <w:r>
        <w:t>3. 데이터 수집·가공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</w:tcPr>
          <w:p>
            <w:r>
              <w:rPr>
                <w:b/>
                <w:sz w:val="18"/>
              </w:rPr>
              <w:t>원천</w:t>
            </w:r>
          </w:p>
        </w:tc>
        <w:tc>
          <w:tcPr>
            <w:tcW w:type="dxa" w:w="4195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2608"/>
          </w:tcPr>
          <w:p>
            <w:r>
              <w:rPr>
                <w:b/>
                <w:sz w:val="18"/>
              </w:rPr>
              <w:t>규모(현재)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기간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관세청 (공공데이터포털)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HS 161코드 바스켓 수출입 실적 — 연간·월간(백필 완료)·국가별 연간(신규 정비)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연간 232,001행 / 월간 232,001행 / 국가별 39,962행(223개국)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2013~2025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GDELT GKG 벌크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글로벌 뉴스 지식그래프 원본 36.1만 파일 → LLM 전량 재검증 통과분만 이벤트化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이벤트 원장의 대부분(약 181만 건)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2016~2026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기관 보고서·뉴스 코퍼스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KOMIS 일일자원뉴스·Argus·WoodMac·조달청 등 2,812건 문서(OCR 포함) → LLM 이벤트 추출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이벤트 6,510건(KOMIS 2,009·Argus 1,652·WoodMac 1,205 등)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2016~2026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미국·중국 공시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연방관보(BIS·USTR·ITA) + 중국 상무부 수출통제 공고(과거분 웹아카이브 백필)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미국 886건 / 중국 122건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2016~2026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KOMIS 실가격·교사신호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주간 광물가격(LME 현물·3M·정련가) + 월간 수급동향지표(학습 라벨)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가격 6,839행 / 교사 385행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가격 2001~ / 교사 2020~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한국은행 ECOS·환율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거시 보조(환율 등)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257행 + 주간 환율 CSV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2013~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USGS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세계 생산·매장(공급집중 HHI 산출용)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생산·매장 207행, HHI 10행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연간</w:t>
            </w:r>
          </w:p>
        </w:tc>
      </w:tr>
    </w:tbl>
    <w:p/>
    <w:p>
      <w:r>
        <w:rPr>
          <w:b w:val="0"/>
          <w:sz w:val="19"/>
        </w:rPr>
        <w:t>가공 계층: 원천(raw_*) → 정본 팩트(fact_* — 월별 무역 21,955행·가격·교사) → 분석 마트(mart_* — 주간 진단 패널 4,601행, 지수·확률) → 결과(out_* — 경보·수입예측, 근거 JSON 동봉). 비정형은 LLM(사내 vLLM)이 문서→정형 이벤트 변환을 담당하며 총 1,815,194건의 이벤트 원장이 DB에 적재되어 있다. 모든 단계는 멱등(재실행 안전)이고 일자별 zip 번들이 폐쇄망 분석 서버의 유일한 반입 경로다.</w:t>
      </w:r>
    </w:p>
    <w:p>
      <w:pPr>
        <w:pStyle w:val="Heading1"/>
      </w:pPr>
      <w:r>
        <w:t>4. 5대 광종별 모델 산출 현황 (2026-07-16 기준)</w:t>
      </w:r>
    </w:p>
    <w:p>
      <w:r>
        <w:rPr>
          <w:b/>
          <w:sz w:val="20"/>
        </w:rPr>
        <w:t>4-1. 지정학 위기지수(v2) · 수급위기 진단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</w:tcPr>
          <w:p>
            <w:r>
              <w:rPr>
                <w:b/>
                <w:sz w:val="18"/>
              </w:rPr>
              <w:t>광종</w:t>
            </w:r>
          </w:p>
        </w:tc>
        <w:tc>
          <w:tcPr>
            <w:tcW w:type="dxa" w:w="2494"/>
          </w:tcPr>
          <w:p>
            <w:r>
              <w:rPr>
                <w:b/>
                <w:sz w:val="18"/>
              </w:rPr>
              <w:t>지정학 지수(최신주 07-05)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급증확률(보정) [v2: P(y≥P90 burst)]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진단 위기지수(2026-06)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4단계 경보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구리(CU)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75.3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2.3%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99.1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심각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니켈(NI)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75.6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2.3%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61.5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정상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코발트(CO)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81.4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22.1%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66.2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주의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리튬(LI)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83.6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6.7%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58.7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관심†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희토류(REE)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90.7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45.5%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85.9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주의</w:t>
            </w:r>
          </w:p>
        </w:tc>
      </w:tr>
    </w:tbl>
    <w:p/>
    <w:p>
      <w:r>
        <w:rPr>
          <w:b w:val="0"/>
          <w:sz w:val="19"/>
        </w:rPr>
        <w:t>† 경보 단계는 진단 단계에 변동성 트리거·하향 지속 규칙(2주)이 결합된 운영값이라 나우캐스트 단계와 다를 수 있다. 해석: 희토류가 지수·급증확률(45.5%) 모두 최고 — 중국 수출통제 국면 지속의 반영. 구리의 '심각'은 가격 경로(전년 대비 급등) 주도이며, 구리 특성상 기간구조·수입집중과 병행 해석 방침(협의 안건 3). 니켈은 전 지표 안정.</w:t>
      </w:r>
      <w:r>
        <w:rPr>
          <w:i/>
          <w:color w:val="666666"/>
          <w:sz w:val="16"/>
        </w:rPr>
        <w:t xml:space="preserve"> [급증확률은 목표변수 v2(주간 심각이벤트수≥광종별 P90 임계, burst 타깃) 기준 — 2026-07-12 이전 v1(P(y≥1건))은 GKG 병합 후 기저율 포화(무정보)로 대체됨, 현재 프로덕션 파이프라인은 v2만 산출]</w:t>
      </w:r>
    </w:p>
    <w:p>
      <w:r>
        <w:rPr>
          <w:b/>
          <w:sz w:val="20"/>
        </w:rPr>
        <w:t>4-2. 1년 후(2026-12월분) 수입물량·수입액 예측 — 80% 예측구간 병기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광종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월간 물량(톤)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물량 구간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톤당 단가(USD)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월간 수입액(백만$)</w:t>
            </w:r>
          </w:p>
        </w:tc>
        <w:tc>
          <w:tcPr>
            <w:tcW w:type="dxa" w:w="1361"/>
          </w:tcPr>
          <w:p>
            <w:r>
              <w:rPr>
                <w:b/>
                <w:sz w:val="18"/>
              </w:rPr>
              <w:t>수입액 구간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참고: 2025 월평균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구리(CU)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300,772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152천~392천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5,279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1,588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992~2,597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215천 톤 / $1,196M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니켈(NI)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200,838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92천~470천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55~459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254천 톤 / $174M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리튬(LI)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42,298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25천~66천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17,472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739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505~2,893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40.5천 톤 / $638M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코발트(CO)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1,121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0.5천~2.6천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30,882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23~177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1.0천 톤 / $17.5M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희토류(REE)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760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0.6천~2.6천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60,572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26~216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0.75천 톤 / $33M</w:t>
            </w:r>
          </w:p>
        </w:tc>
      </w:tr>
    </w:tbl>
    <w:p/>
    <w:p>
      <w:r>
        <w:rPr>
          <w:b w:val="0"/>
          <w:sz w:val="19"/>
        </w:rPr>
        <w:t>모델: 물량·단가 분리 학습 후 금액=단가×톤 합성(학습 156개월), 구간은 분위 예측+통계 보정(conformal)+몬테카를로 합성. 2025년 월평균 실적과의 정합(예: 희토류 월 750톤대)을 확인했다. 12개월 전체 경로는 DB(out_import_forecast_unit)와 대시보드에서 월별 제공.</w:t>
      </w:r>
    </w:p>
    <w:p>
      <w:pPr>
        <w:pStyle w:val="Heading1"/>
      </w:pPr>
      <w:r>
        <w:t>5. 현재 성능 스냅샷 (2026-07-16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영역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2948"/>
          </w:tcPr>
          <w:p>
            <w:r>
              <w:rPr>
                <w:b/>
                <w:sz w:val="18"/>
              </w:rPr>
              <w:t>현재 값</w:t>
            </w:r>
          </w:p>
        </w:tc>
        <w:tc>
          <w:tcPr>
            <w:tcW w:type="dxa" w:w="2608"/>
          </w:tcPr>
          <w:p>
            <w:r>
              <w:rPr>
                <w:b/>
                <w:sz w:val="18"/>
              </w:rPr>
              <w:t>기준선 대비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지정학 지수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이벤트 원장 / 발행 주기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1,815,194건 / 주·월·년(v2 앵커)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랜드마크 사건 정합 실증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급증확률(NB2)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보정 후 ECE / Brier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0.028 / 0.106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isotonic 보정으로 확률 신뢰성 확보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수급위기 진단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QWK / 전환월 적중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0.925 / 0.745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지속성 기준선 0.884 / 0 상회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선행 예측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h=3개월 QWK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0.821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기준선 0.592 — 지평이 길수록 격차 확대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4단계 경보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허위경보율(재설계 후)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재설계 전 0.592 — 규칙 백테스트로 정상화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수입 예측(금액)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WAPE / 대 계절나이브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19.4~28.1% / 두 원점 우위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학습 156개월(2013~)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예측구간(80%)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실측 커버리지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0.73~0.85 (평균 0.79)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conformal 보수화, 목표 0.80 수준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수입국 집중도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교정판 HHI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리튬 0.59~0.67·희토류 0.69~0.71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국가 차원 결함 발견·교정 완료</w:t>
            </w:r>
          </w:p>
        </w:tc>
      </w:tr>
    </w:tbl>
    <w:p/>
    <w:p>
      <w:pPr>
        <w:pStyle w:val="Heading1"/>
      </w:pPr>
      <w:r>
        <w:t>6. 주요 발견·의사결정 기록</w:t>
      </w:r>
    </w:p>
    <w:p>
      <w:pPr>
        <w:pStyle w:val="ListBullet"/>
      </w:pPr>
      <w:r>
        <w:t>데이터 결함 2건 발견·교정: ① 관세청 수집의 국가 필드 오매핑(합계는 정상, 국가 차원 소실) → 수집기 교정·국가별 재수집으로 진짜 '수입국 HHI' 확보 ② 수입국 집중 피처가 품목 구성 HHI였던 결함 → 교정 재적합으로 전환월 적중 0.63→0.75.</w:t>
      </w:r>
    </w:p>
    <w:p>
      <w:pPr>
        <w:pStyle w:val="ListBullet"/>
      </w:pPr>
      <w:r>
        <w:t>경보 오버라이드 규칙을 백테스트로 재설계: 변동성 트리거 유지(위기 선행 실증), 수입편중 하향, 지정학 직접 격상 폐지(지수와 이중계상) — 허위경보율 대폭 개선, 최신 경보 판단 불변.</w:t>
      </w:r>
    </w:p>
    <w:p>
      <w:pPr>
        <w:pStyle w:val="ListBullet"/>
      </w:pPr>
      <w:r>
        <w:t>한국 특화 지수화: 지수에 '글로벌 생산점유 × 한국 수입의존' 이중 노출 가중 도입 — 희토류 중국 수출통제 주간 +12~15pt, 분산 수입 광종(구리·니켈)은 중립. 수입액 예측에서도 지수 기여 실증.</w:t>
      </w:r>
    </w:p>
    <w:p>
      <w:pPr>
        <w:pStyle w:val="ListBullet"/>
      </w:pPr>
      <w:r>
        <w:t>평가의 정직성 확립: 평가지표를 국제 표준(WAPE·MASE)으로 교체하는 과정에서 종전 결론 일부를 스스로 뒤집고(계절나이브 대비 혼조 → 표본 확대 후 우위 달성), 모든 판정을 기준선 비교·시간분할로 재검증하는 원칙을 문서화.</w:t>
      </w:r>
    </w:p>
    <w:p>
      <w:pPr>
        <w:pStyle w:val="ListBullet"/>
      </w:pPr>
      <w:r>
        <w:t>평가 후 기각도 기록: 부분 풀링(최적점이 완전풀링으로 수렴), MinT 계층 정합(소계열 왜곡 규명 — 품목 요구 시 bottom-up 채택), 수입량 이탈 대리 라벨(선적 노이즈) — 무리한 채택 없이 근거와 함께 기각.</w:t>
      </w:r>
    </w:p>
    <w:p>
      <w:pPr>
        <w:pStyle w:val="ListBullet"/>
      </w:pPr>
      <w:r>
        <w:t>정책 인용급 발견: 희토류는 수출통제 공시 후 5~8개월에 수입물량이 +5~7% 증가(위약검정 통과) — 실물 부족 이전의 선구매·대체조달 신호로 해석(발주처 보고 예정).</w:t>
      </w:r>
    </w:p>
    <w:p>
      <w:pPr>
        <w:pStyle w:val="ListBullet"/>
      </w:pPr>
      <w:r>
        <w:t>구리 경보의 특수성 규명: 가격 변동성이 거시·투기 요인 지배로 수급 경보와 구조적 탈동조 — 기간구조·수입집중 병행 해석 방침(발주처 승인 안건).</w:t>
      </w:r>
    </w:p>
    <w:p>
      <w:pPr>
        <w:pStyle w:val="Heading1"/>
      </w:pPr>
      <w:r>
        <w:t>7. 산출물 현황</w:t>
      </w:r>
    </w:p>
    <w:p>
      <w:r>
        <w:rPr>
          <w:b/>
          <w:sz w:val="20"/>
        </w:rPr>
        <w:t>문서(발주 보고용)</w:t>
      </w:r>
    </w:p>
    <w:p>
      <w:pPr>
        <w:pStyle w:val="ListBullet"/>
      </w:pPr>
      <w:r>
        <w:t>확정 아키텍처·모델링 정리 상세판(§8 고도화 로드맵 12항 포함) / 시스템 구성 요약본(구성도 포함, 260716) / 광종별 HS코드 연계표 / 발주처 협의 안건서 4건 / 본 중간 진행 보고 — 각 문서는 실측 산출물과 수치 정합.</w:t>
      </w:r>
    </w:p>
    <w:p>
      <w:r>
        <w:rPr>
          <w:b/>
          <w:sz w:val="20"/>
        </w:rPr>
        <w:t>시스템(코드·데이터)</w:t>
      </w:r>
    </w:p>
    <w:p>
      <w:pPr>
        <w:pStyle w:val="ListBullet"/>
      </w:pPr>
      <w:r>
        <w:t>모듈 5종(수집기 도커 / 전처리기 / 지수 추정기 / 진단기 / 수입 추정기) + 주·월 자동 체인, warehouse DB 28개 테이블(이벤트 원장 29.5만(2026-07 GKG 관련성 재정제 완료, 표본검증 관련성 99.5%)·결과 테이블 근거 동봉), 검증 스크립트 12본, 웹 대시보드 프로토타입.</w:t>
      </w:r>
    </w:p>
    <w:p>
      <w:r>
        <w:rPr>
          <w:b/>
          <w:sz w:val="20"/>
        </w:rPr>
        <w:t>검증 기록</w:t>
      </w:r>
    </w:p>
    <w:p>
      <w:pPr>
        <w:pStyle w:val="ListBullet"/>
      </w:pPr>
      <w:r>
        <w:t>작업 이력(WORKLOG) 35개 항목·산출물 레지스트리·검증 리포트 14본(ablation, lead time, 민감도, proxy, event study, 오버라이드·부분풀링·HS계층 백테스트 등) — 전부 재현 가능한 스크립트 동반.</w:t>
      </w:r>
    </w:p>
    <w:p>
      <w:pPr>
        <w:pStyle w:val="Heading1"/>
      </w:pPr>
      <w:r>
        <w:t>8. 남은 작업 (납기 2026-09 대비)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5896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운영 배포</w:t>
            </w:r>
          </w:p>
        </w:tc>
        <w:tc>
          <w:tcPr>
            <w:tcW w:type="dxa" w:w="5896"/>
          </w:tcPr>
          <w:p>
            <w:r>
              <w:rPr>
                <w:sz w:val="18"/>
              </w:rPr>
              <w:t>수집 서버 도커 기동 → 분석 서버(폐쇄망) 이미지 반입 → cron 등록(주간 월 06:00 / 월간 1일 07:00) → 대시보드 일일 재생성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체인 코드 검증 완료 — 인프라 작업만 잔여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고도화(장기)</w:t>
            </w:r>
          </w:p>
        </w:tc>
        <w:tc>
          <w:tcPr>
            <w:tcW w:type="dxa" w:w="5896"/>
          </w:tcPr>
          <w:p>
            <w:r>
              <w:rPr>
                <w:sz w:val="18"/>
              </w:rPr>
              <w:t>① 근사중복 임베딩 클러스터링 전량 배치(수집서버 GPU — 표본 검증상 잔존 12%) ② 지수 심각도·방향 가중 정밀화 ③ 수입량 이탈 대리 라벨 분기 재정의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성능·정밀도 개선 계열, 운영 차단 없음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발주처 협의</w:t>
            </w:r>
          </w:p>
        </w:tc>
        <w:tc>
          <w:tcPr>
            <w:tcW w:type="dxa" w:w="5896"/>
          </w:tcPr>
          <w:p>
            <w:r>
              <w:rPr>
                <w:sz w:val="18"/>
              </w:rPr>
              <w:t>신규 4건(에피소드 사례·비용비 합의·구리 해석 승인·품목 예측 수요) + 기존 자료협조 8건(v1 §12)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「발주처 협의 안건서(2026-07-16)」 상정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경보체계 현황 정정</w:t>
            </w:r>
          </w:p>
        </w:tc>
        <w:tc>
          <w:tcPr>
            <w:tcW w:type="dxa" w:w="5896"/>
          </w:tcPr>
          <w:p>
            <w:r>
              <w:rPr>
                <w:sz w:val="18"/>
              </w:rPr>
              <w:t>법정 3계열(①정세불안 ②시설·수송 ③가격변동성) 병렬 구조 중 현재는 ①③만 반영(코드는 (A)분위수 기본단계+(B)규칙 오버라이드+(C)히스테리시스). 계열2(시설·수송)는 이벤트 event_type→dimension 재매핑 미착수 — '4단계 경보'는 운영 중이나 '3계열 완전체'는 아님.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피드백기반_수정플랜(260716) A-2 항목, 실측 대상 1,815,194건</w:t>
            </w:r>
          </w:p>
        </w:tc>
      </w:tr>
    </w:tbl>
    <w:p/>
    <w:p>
      <w:r>
        <w:rPr>
          <w:b w:val="0"/>
          <w:sz w:val="19"/>
        </w:rPr>
        <w:t>리스크·의존성: 폐쇄망 반입 절차(보안 승인)와 발주처 자료 제공 시점이 주요 외부 의존이며, 모델·데이터 측 블로킹 이슈는 현재 없음.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