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핵심광물 수급위기 진단·수요예측 시스템</w:t>
        <w:br/>
        <w:t>AI 모델 사용안</w:t>
      </w:r>
    </w:p>
    <w:p>
      <w:r>
        <w:t>작성일: 2026-07-22  |  수행: 일루넥스</w:t>
      </w:r>
    </w:p>
    <w:p>
      <w:r>
        <w:t>본 문서는 시스템의 핵심 예측·진단 기능에 사용하는 AI/ML 모델을 정리한 것입니다. 각 모델별로 특징·선정 사유·장단점·예상 제약사항을 기술하고, 마지막에 필요 인프라 자원을 종합합니다.</w:t>
      </w:r>
    </w:p>
    <w:p>
      <w:pPr>
        <w:pStyle w:val="Heading1"/>
      </w:pPr>
      <w:r>
        <w:t>1. 개요</w:t>
      </w:r>
    </w:p>
    <w:p>
      <w:r>
        <w:t>시스템은 두 축의 예측·진단 기능을 제공합니다 — ① 5개 핵심광물(구리·니켈·코발트·리튬·희토류)에 대한 주간 수급위기 진단(4단계 경보), ② 광종별 12개월 수입물량·수입액 예측. 두 모델 모두 소표본(광종당 데이터가 월~주 단위로 제한적)이라는 제약을 감안해 전통 기계학습을 채택했으며, 별도로 비정형 뉴스·공시를 정형 이벤트로 변환하는 데는 자체 호스팅 LLM을 사용합니다(③).</w:t>
      </w:r>
    </w:p>
    <w:p>
      <w:pPr>
        <w:pStyle w:val="Heading1"/>
      </w:pPr>
      <w:r>
        <w:t>2. 수급위기 진단모델</w:t>
      </w:r>
    </w:p>
    <w:p>
      <w:pPr>
        <w:pStyle w:val="Heading2"/>
      </w:pPr>
      <w:r>
        <w:t>사용 모델</w:t>
      </w:r>
    </w:p>
    <w:p>
      <w:r>
        <w:t>Ridge 회귀(scikit-learn Ridge, alpha=1.0) — 5개 광종을 풀링(pooling)해 함께 학습하되 광종 더미 변수로 광종별 절편차를 반영하는 구조입니다.</w:t>
      </w:r>
    </w:p>
    <w:p>
      <w:pPr>
        <w:pStyle w:val="Heading2"/>
      </w:pPr>
      <w:r>
        <w:t>선정 사유</w:t>
      </w:r>
    </w:p>
    <w:p>
      <w:r>
        <w:t>워크포워드(미래참조 없는 시간분할) 3폴드(테스트 구간 2023·2024·2025년 이후)로 9개 후보 모델을 비교했습니다 — 지속성 기준선(직전 주 유지)·나이브·Ridge(전체 풀링/광종별)·HistGradientBoosting(전체 풀링/광종별)·Logistic회귀·DecisionTree·RandomForest. 이차가중카파(QWK)와 전환 시점(등급이 실제로 바뀐 주) 적중률을 종합한 결과 Ridge(풀링)가 가장 안정적인 챔피언으로 확인됐습니다.</w:t>
      </w:r>
    </w:p>
    <w:p>
      <w:pPr>
        <w:pStyle w:val="Heading2"/>
      </w:pPr>
      <w:r>
        <w:t>특징</w:t>
      </w:r>
    </w:p>
    <w:p>
      <w:pPr>
        <w:pStyle w:val="ListBullet"/>
      </w:pPr>
      <w:r>
        <w:t>타깃: KOMIS 주간 가격이격률 등급(4단계: 정상/관심/주의/경계·심각)</w:t>
      </w:r>
    </w:p>
    <w:p>
      <w:pPr>
        <w:pStyle w:val="ListBullet"/>
      </w:pPr>
      <w:r>
        <w:t>피처: 지정학위기지수·지정학변화·급증확률·수입편중도(HHI)·수입증감(YoY·3년CAGR)·직전주 등급(grade_lag1)</w:t>
      </w:r>
    </w:p>
    <w:p>
      <w:pPr>
        <w:pStyle w:val="ListBullet"/>
      </w:pPr>
      <w:r>
        <w:t>가격 파생 피처(52주 가격 표준화·변동성·가격이격률 원시값 등)는 타깃과 동일 원천이라 '예측'이 아니라 '정답을 재진술'하는 라벨 오염 위험이 있어 주모델에서 의도적으로 제외했습니다 (참고용 비교 모델에는 포함해 오염 위험을 명시적으로 표시).</w:t>
      </w:r>
    </w:p>
    <w:p>
      <w:pPr>
        <w:pStyle w:val="Heading2"/>
      </w:pPr>
      <w:r>
        <w:t>장단점</w:t>
      </w:r>
    </w:p>
    <w:p>
      <w:pPr>
        <w:pStyle w:val="ListBullet"/>
      </w:pPr>
      <w:r>
        <w:rPr>
          <w:b/>
        </w:rPr>
        <w:t xml:space="preserve">장점 — </w:t>
      </w:r>
      <w:r>
        <w:t>선형모델이라 경보 산출 근거를 요인별 기여도로 정확 분해(XAI)할 수 있어 '왜 이 단계인가'에 항상 답할 수 있습니다. 소표본에서도 과적합 없이 안정적이고, 라벨 오염 경로를 설계 단계에서 배제했습니다.</w:t>
      </w:r>
    </w:p>
    <w:p>
      <w:pPr>
        <w:pStyle w:val="ListBullet"/>
      </w:pPr>
      <w:r>
        <w:rPr>
          <w:b/>
        </w:rPr>
        <w:t xml:space="preserve">단점 — </w:t>
      </w:r>
      <w:r>
        <w:t>선형 구조라 비선형·복합 상호작용 패턴 포착에는 한계가 있습니다(HistGBM 대비). 실측상 전환 시점 자체를 미리 잡아내는 능력은 지속성 기준선과 동률 수준으로, '등급 유지 예측'에는 강하지만 '변화 예측'은 상대적으로 약합니다.</w:t>
      </w:r>
    </w:p>
    <w:p>
      <w:pPr>
        <w:pStyle w:val="Heading2"/>
      </w:pPr>
      <w:r>
        <w:t>예상되는 제약사항</w:t>
      </w:r>
    </w:p>
    <w:p>
      <w:pPr>
        <w:pStyle w:val="ListBullet"/>
      </w:pPr>
      <w:r>
        <w:t>게이트/오버라이드(변동성 급등 트리거 등) 결합 로직은 현재 연구·검증 단계 산출물로만 존재하며, 자동화 운영 파이프라인(msr/models/diagnosis.py 베이스라인)에는 아직 배선되지 않았습니다 — 운영 전환 시 통합 작업이 필요합니다.</w:t>
      </w:r>
    </w:p>
    <w:p>
      <w:pPr>
        <w:pStyle w:val="ListBullet"/>
      </w:pPr>
      <w:r>
        <w:t>타깃(KOMIS 가격이격률 등급) 자체가 가격 지표 기반이라, 가격과 무관한 순수 물리적 공급차질(생산중단 등)이 가격에 늦게 반영되는 국면에서는 진단이 지연될 수 있습니다.</w:t>
      </w:r>
    </w:p>
    <w:p>
      <w:pPr>
        <w:pStyle w:val="Heading1"/>
      </w:pPr>
      <w:r>
        <w:t>3. 수입수요(물량·금액) 예측모델</w:t>
      </w:r>
    </w:p>
    <w:p>
      <w:pPr>
        <w:pStyle w:val="Heading2"/>
      </w:pPr>
      <w:r>
        <w:t>사용 모델</w:t>
      </w:r>
    </w:p>
    <w:p>
      <w:r>
        <w:t>HistGradientBoostingRegressor(scikit-learn, max_depth=4, learning_rate=0.07, max_iter=300) — 물량(톤)과 톤당 단가(USD/톤)를 각각 별도 모델로 예측한 뒤 곱해 수입액을 합성합니다(금액을 직접 예측하지 않는 구조).</w:t>
      </w:r>
    </w:p>
    <w:p>
      <w:pPr>
        <w:pStyle w:val="Heading2"/>
      </w:pPr>
      <w:r>
        <w:t>선정 사유</w:t>
      </w:r>
    </w:p>
    <w:p>
      <w:r>
        <w:t>물량과 단가는 서로 다른 동학(물량=계절성·자국 수요, 단가=국제시황)을 가져 분리 학습이 타당하다고 판단했습니다. 예측 지평(h=1~12개월) 구현 방식도 재귀형(순차 예측, 오차가 누적될 수 있음)과 Direct형(지평마다 독립 모델, 데이터 효율은 낮지만 오차 누적 없음) 두 가지를 모두 만들어 워크포워드 백테스트(MASE 기준)로 비교 후 더 나은 쪽을 자동 채택하며, 매 재학습마다 그 격차를 별도 테이블(mart_forecast_method_log)에 쌓아 추세를 모니터링합니다.</w:t>
      </w:r>
    </w:p>
    <w:p>
      <w:pPr>
        <w:pStyle w:val="Heading2"/>
      </w:pPr>
      <w:r>
        <w:t>특징</w:t>
      </w:r>
    </w:p>
    <w:p>
      <w:pPr>
        <w:pStyle w:val="ListBullet"/>
      </w:pPr>
      <w:r>
        <w:t>피처: 시차값(lag1·2·3·6·12)·3개월 이동평균·월 주기성(sin/cos)·LME 국제가격(로그)·지정학위기지수·환율(로그)·광종 더미</w:t>
      </w:r>
    </w:p>
    <w:p>
      <w:pPr>
        <w:pStyle w:val="ListBullet"/>
      </w:pPr>
      <w:r>
        <w:t>평가지표: WAPE·MASE(국제 예측경진 M4/M5 표준), '현재가 유지(랜덤워크)' 기준선 대비 우위를 항상 병기</w:t>
      </w:r>
    </w:p>
    <w:p>
      <w:pPr>
        <w:pStyle w:val="Heading2"/>
      </w:pPr>
      <w:r>
        <w:t>장단점</w:t>
      </w:r>
    </w:p>
    <w:p>
      <w:pPr>
        <w:pStyle w:val="ListBullet"/>
      </w:pPr>
      <w:r>
        <w:rPr>
          <w:b/>
        </w:rPr>
        <w:t xml:space="preserve">장점 — </w:t>
      </w:r>
      <w:r>
        <w:t>그래디언트 부스팅(히스토그램 기반)이라 비선형 패턴·변수 간 상호작용을 포착할 수 있고, 피처 스케일링이 불필요합니다. 재귀/Direct 자동 비교로 지평별 최적 구조를 데이터 기반으로 선택합니다.</w:t>
      </w:r>
    </w:p>
    <w:p>
      <w:pPr>
        <w:pStyle w:val="ListBullet"/>
      </w:pPr>
      <w:r>
        <w:rPr>
          <w:b/>
        </w:rPr>
        <w:t xml:space="preserve">단점 — </w:t>
      </w:r>
      <w:r>
        <w:t>선형모델 대비 설명력이 낮습니다(특성 중요도로 보완). 재귀 구조는 오차 누적 위험이, Direct 구조는 지평마다 별도 학습이라 데이터 효율이 낮다는 구조적 트레이드오프가 있습니다.</w:t>
      </w:r>
    </w:p>
    <w:p>
      <w:pPr>
        <w:pStyle w:val="Heading2"/>
      </w:pPr>
      <w:r>
        <w:t>예상되는 제약사항</w:t>
      </w:r>
    </w:p>
    <w:p>
      <w:pPr>
        <w:pStyle w:val="ListBullet"/>
      </w:pPr>
      <w:r>
        <w:t>국제가격(LME)·환율 등 외생변수의 최신성·정확성에 예측 품질이 크게 의존합니다.</w:t>
      </w:r>
    </w:p>
    <w:p>
      <w:pPr>
        <w:pStyle w:val="ListBullet"/>
      </w:pPr>
      <w:r>
        <w:t>관세청 월간 실적 기반의 소표본 시계열이라 극단적 이상치(단기 급변)에 민감할 수 있으며, 코로나19·지정학 충격 같은 구조변화 국면에서는 과거 패턴 기반 예측의 한계가 있습니다.</w:t>
      </w:r>
    </w:p>
    <w:p>
      <w:pPr>
        <w:pStyle w:val="Heading1"/>
      </w:pPr>
      <w:r>
        <w:t>4. 지정학 위기지수 — 비정형 문서 LLM 추출</w:t>
      </w:r>
    </w:p>
    <w:p>
      <w:pPr>
        <w:pStyle w:val="Heading2"/>
      </w:pPr>
      <w:r>
        <w:t>사용 모델</w:t>
      </w:r>
    </w:p>
    <w:p>
      <w:r>
        <w:t>gemma-4-26b-a4b — 사내 자체 호스팅 vLLM 서버에서 fp8 양자화로 서빙, OpenAI 호환(openai_compat) REST 프로토콜로 접근합니다. 뉴스·공시·GKG(GDELT Global Knowledge Graph) 등 비정형 문서를 정형 이벤트(광종·사건유형·심각도·방향·근거 인용)로 변환하는 데 사용합니다.</w:t>
      </w:r>
    </w:p>
    <w:p>
      <w:pPr>
        <w:pStyle w:val="Heading2"/>
      </w:pPr>
      <w:r>
        <w:t>선정 사유</w:t>
      </w:r>
    </w:p>
    <w:p>
      <w:r>
        <w:t>분석 서버가 보안 폐쇄망에서 운용돼야 하는 요건상, 외부 API(OpenAI·Anthropic 등)에 의존하지 않는 사내 자체 호스팅 모델이 필요했습니다. LLM 어댑터를 provider 무관 구조로 설계해(rule/mock/openai_compat/anthropic) 필요 시 다른 모델로 즉시 교체할 수 있습니다.</w:t>
      </w:r>
    </w:p>
    <w:p>
      <w:pPr>
        <w:pStyle w:val="Heading2"/>
      </w:pPr>
      <w:r>
        <w:t>장단점</w:t>
      </w:r>
    </w:p>
    <w:p>
      <w:pPr>
        <w:pStyle w:val="ListBullet"/>
      </w:pPr>
      <w:r>
        <w:rPr>
          <w:b/>
        </w:rPr>
        <w:t xml:space="preserve">장점 — </w:t>
      </w:r>
      <w:r>
        <w:t>비정형 원문(뉴스·공시)이 외부로 전혀 유출되지 않고, API 종량제 비용이 없으며, provider 무관 설계로 모델 교체가 유연합니다.</w:t>
      </w:r>
    </w:p>
    <w:p>
      <w:pPr>
        <w:pStyle w:val="ListBullet"/>
      </w:pPr>
      <w:r>
        <w:rPr>
          <w:b/>
        </w:rPr>
        <w:t xml:space="preserve">단점 — </w:t>
      </w:r>
      <w:r>
        <w:t>상용 대형 모델(GPT-4급) 대비 복잡한 추론·모호한 문맥 판단 정확도가 낮을 수 있습니다. 다만 명확한 관련성 판정처럼 잘 정의된 과제에서는 반복 검증을 통해 실용적 정확도(표본검증 관련성 99.5%)를 확보했습니다.(상세: docs/WORKLOG.md 2026-07-20~21 GKG 관련성 재설계 항목)</w:t>
      </w:r>
    </w:p>
    <w:p>
      <w:pPr>
        <w:pStyle w:val="Heading2"/>
      </w:pPr>
      <w:r>
        <w:t>예상되는 제약사항</w:t>
      </w:r>
    </w:p>
    <w:p>
      <w:pPr>
        <w:pStyle w:val="ListBullet"/>
      </w:pPr>
      <w:r>
        <w:t>처리량이 전적으로 사내 GPU 서버 성능에 좌우됩니다 — 실측상 관련성 재검증 33만여 건에 약 1시간(관대한 판정), 더 복잡한 적대적 재검증 프롬프트는 약 5시간이 걸렸습니다. 대량 재처리 작업은 사전에 소요시간을 가늠해 일정에 반영해야 합니다.</w:t>
      </w:r>
    </w:p>
    <w:p>
      <w:pPr>
        <w:pStyle w:val="ListBullet"/>
      </w:pPr>
      <w:r>
        <w:t>모델 자체의 판단 오류(원천 데이터의 상품 오태깅 등)는 완전히 제거되지 않으며, 다단계 재검증으로 낮출 수는 있으나 이론적으로 100%는 불가능합니다.</w:t>
      </w:r>
    </w:p>
    <w:p>
      <w:pPr>
        <w:pStyle w:val="Heading1"/>
      </w:pPr>
      <w:r>
        <w:t>5. 필요 인프라 자원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구성 요소</w:t>
            </w:r>
          </w:p>
        </w:tc>
        <w:tc>
          <w:tcPr>
            <w:tcW w:type="dxa" w:w="2880"/>
          </w:tcPr>
          <w:p>
            <w:r>
              <w:t>자원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LLM 추론 서버(지정학 이벤트 추출)</w:t>
            </w:r>
          </w:p>
        </w:tc>
        <w:tc>
          <w:tcPr>
            <w:tcW w:type="dxa" w:w="2880"/>
          </w:tcPr>
          <w:p>
            <w:r>
              <w:t>GPU 서버 1대(사내 vLLM, gemma-4-26b-a4b fp8 서빙)</w:t>
            </w:r>
          </w:p>
        </w:tc>
        <w:tc>
          <w:tcPr>
            <w:tcW w:type="dxa" w:w="2880"/>
          </w:tcPr>
          <w:p>
            <w:r>
              <w:t>폐쇄망 내부 별도 서버로 분리 운용 — 분석 서버는 host.docker.internal 경유로만 접근. 정확한 GPU VRAM 사양은 사내 인프라팀 확인 필요(본 문서 작성 시점 기준 미확정).</w:t>
            </w:r>
          </w:p>
        </w:tc>
      </w:tr>
      <w:tr>
        <w:tc>
          <w:tcPr>
            <w:tcW w:type="dxa" w:w="2880"/>
          </w:tcPr>
          <w:p>
            <w:r>
              <w:t>전통 ML 학습·추론(Ridge·HistGBM)</w:t>
            </w:r>
          </w:p>
        </w:tc>
        <w:tc>
          <w:tcPr>
            <w:tcW w:type="dxa" w:w="2880"/>
          </w:tcPr>
          <w:p>
            <w:r>
              <w:t>CPU만으로 충분, GPU 불필요</w:t>
            </w:r>
          </w:p>
        </w:tc>
        <w:tc>
          <w:tcPr>
            <w:tcW w:type="dxa" w:w="2880"/>
          </w:tcPr>
          <w:p>
            <w:r>
              <w:t>학습 데이터가 광종당 주~월 단위 수백 행 수준으로 경량 — 재학습도 수 분 내 완료.</w:t>
            </w:r>
          </w:p>
        </w:tc>
      </w:tr>
      <w:tr>
        <w:tc>
          <w:tcPr>
            <w:tcW w:type="dxa" w:w="2880"/>
          </w:tcPr>
          <w:p>
            <w:r>
              <w:t>데이터베이스</w:t>
            </w:r>
          </w:p>
        </w:tc>
        <w:tc>
          <w:tcPr>
            <w:tcW w:type="dxa" w:w="2880"/>
          </w:tcPr>
          <w:p>
            <w:r>
              <w:t>DuckDB 단일 파일(현재 약 438MB)</w:t>
            </w:r>
          </w:p>
        </w:tc>
        <w:tc>
          <w:tcPr>
            <w:tcW w:type="dxa" w:w="2880"/>
          </w:tcPr>
          <w:p>
            <w:r>
              <w:t>동시 쓰기 제약 있음(단일 프로세스 순차 실행 전제). 운영 규모 확대 시 코드 수정 없이 접속 URL만 바꿔 Oracle·MariaDB·PostgreSQL 등 서버DB로 전환 가능.</w:t>
            </w:r>
          </w:p>
        </w:tc>
      </w:tr>
      <w:tr>
        <w:tc>
          <w:tcPr>
            <w:tcW w:type="dxa" w:w="2880"/>
          </w:tcPr>
          <w:p>
            <w:r>
              <w:t>자동화 실행</w:t>
            </w:r>
          </w:p>
        </w:tc>
        <w:tc>
          <w:tcPr>
            <w:tcW w:type="dxa" w:w="2880"/>
          </w:tcPr>
          <w:p>
            <w:r>
              <w:t>호스트 cron(주간·월간·분기 체인)</w:t>
            </w:r>
          </w:p>
        </w:tc>
        <w:tc>
          <w:tcPr>
            <w:tcW w:type="dxa" w:w="2880"/>
          </w:tcPr>
          <w:p>
            <w:r>
              <w:t>상시 구동 서버 불필요 — 배치 실행 후 종료. 단계별 시간제한·안전중단 내장.</w:t>
            </w:r>
          </w:p>
        </w:tc>
      </w:tr>
    </w:tbl>
    <w:p>
      <w:pPr>
        <w:pStyle w:val="Heading1"/>
      </w:pPr>
      <w:r>
        <w:t>6. 종합 제약사항 요약</w:t>
      </w:r>
    </w:p>
    <w:p>
      <w:pPr>
        <w:pStyle w:val="ListBullet"/>
      </w:pPr>
      <w:r>
        <w:t>소표본 특성(광종당 주·월 데이터가 제한적)이 전체 설계의 근본 제약입니다 — 이 때문에 딥러닝을 배제하고 전통 기계학습(Ridge·그래디언트부스팅)을 원칙으로 채택했습니다.</w:t>
      </w:r>
    </w:p>
    <w:p>
      <w:pPr>
        <w:pStyle w:val="ListBullet"/>
      </w:pPr>
      <w:r>
        <w:t>LLM 기반 비정형 처리는 원천 데이터(GDELT 등)의 품질에 근본적으로 의존합니다. 실제로 이번 달 GKG(GDELT) 원천의 상품 태깅 오류를 발견해 규칙기반+LLM 이중 재검증으로 관련성을 71.4%→99.5%까지 끌어올린 사례가 있습니다 — 유사한 원천 데이터 품질 이슈는 향후에도 발생할 수 있어 정기적 재검증 체계가 필요합니다.</w:t>
      </w:r>
    </w:p>
    <w:p>
      <w:pPr>
        <w:pStyle w:val="ListBullet"/>
      </w:pPr>
      <w:r>
        <w:t>진단모델의 게이트/오버라이드 결합, 예측모델의 재귀/Direct 자동전환 등 일부 로직은 연구·검증은 완료됐으나 운영 자동화 파이프라인 통합이 남아있는 항목이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