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AB0E" w14:textId="77777777" w:rsidR="008F41FA" w:rsidRDefault="00E51707" w:rsidP="008F41FA">
      <w:pPr>
        <w:pStyle w:val="Title"/>
        <w:pBdr>
          <w:bottom w:val="single" w:sz="4" w:space="0" w:color="auto"/>
        </w:pBdr>
        <w:jc w:val="left"/>
        <w:rPr>
          <w:rFonts w:ascii="SF COMPACT MEDIUM" w:hAnsi="SF COMPACT MEDIUM"/>
          <w:i w:val="0"/>
          <w:iCs w:val="0"/>
        </w:rPr>
      </w:pPr>
      <w:bookmarkStart w:id="0" w:name="_Hlk163744450"/>
      <w:bookmarkEnd w:id="0"/>
      <w:r w:rsidRPr="008F41FA">
        <w:rPr>
          <w:rFonts w:ascii="SF COMPACT MEDIUM" w:hAnsi="SF COMPACT MEDIUM"/>
          <w:i w:val="0"/>
          <w:iCs w:val="0"/>
        </w:rPr>
        <w:t>Summ</w:t>
      </w:r>
      <w:r w:rsidR="008F41FA" w:rsidRPr="008F41FA">
        <w:rPr>
          <w:rFonts w:ascii="SF COMPACT MEDIUM" w:hAnsi="SF COMPACT MEDIUM"/>
          <w:i w:val="0"/>
          <w:iCs w:val="0"/>
        </w:rPr>
        <w:t xml:space="preserve">ary </w:t>
      </w:r>
    </w:p>
    <w:p w14:paraId="2301BD10" w14:textId="7DE382C2" w:rsidR="008F41FA" w:rsidRPr="008F41FA" w:rsidRDefault="008F41FA" w:rsidP="008F41FA">
      <w:pPr>
        <w:pStyle w:val="Title"/>
        <w:pBdr>
          <w:bottom w:val="single" w:sz="4" w:space="0" w:color="auto"/>
        </w:pBdr>
        <w:jc w:val="left"/>
        <w:rPr>
          <w:rFonts w:ascii="SF COMPACT MEDIUM" w:hAnsi="SF COMPACT MEDIUM"/>
          <w:i w:val="0"/>
          <w:iCs w:val="0"/>
        </w:rPr>
      </w:pPr>
      <w:r w:rsidRPr="008F41FA">
        <w:rPr>
          <w:rFonts w:ascii="SF COMPACT MEDIUM" w:hAnsi="SF COMPACT MEDIUM"/>
          <w:i w:val="0"/>
          <w:iCs w:val="0"/>
        </w:rPr>
        <w:t>Prospectus</w:t>
      </w:r>
    </w:p>
    <w:p w14:paraId="2A9338F1" w14:textId="48E146C6" w:rsidR="00893824" w:rsidRPr="008E57E9" w:rsidRDefault="008F41FA" w:rsidP="008E57E9">
      <w:pPr>
        <w:shd w:val="clear" w:color="auto" w:fill="FFFFFF" w:themeFill="background1"/>
        <w:rPr>
          <w:rFonts w:ascii="SF COMPACT LIGHT" w:hAnsi="SF COMPACT LIGHT"/>
          <w:i w:val="0"/>
          <w:iCs w:val="0"/>
          <w:color w:val="000000" w:themeColor="text1"/>
          <w:sz w:val="28"/>
          <w:szCs w:val="28"/>
        </w:rPr>
      </w:pPr>
      <w:r w:rsidRPr="008F41FA">
        <w:rPr>
          <w:rFonts w:ascii="SF COMPACT LIGHT" w:hAnsi="SF COMPACT LIGHT"/>
          <w:i w:val="0"/>
          <w:iCs w:val="0"/>
          <w:color w:val="000000" w:themeColor="text1"/>
          <w:sz w:val="28"/>
          <w:szCs w:val="28"/>
        </w:rPr>
        <w:t>HALB Fund</w:t>
      </w:r>
    </w:p>
    <w:p w14:paraId="23178830" w14:textId="656237FF" w:rsidR="00893824" w:rsidRDefault="00893824" w:rsidP="00893824">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Investment Philosophy</w:t>
      </w:r>
    </w:p>
    <w:p w14:paraId="0D4378D4" w14:textId="03758030" w:rsidR="00770653" w:rsidRDefault="00426040" w:rsidP="00426040">
      <w:pPr>
        <w:rPr>
          <w:rFonts w:ascii="SF COMPACT LIGHT" w:hAnsi="SF COMPACT LIGHT"/>
          <w:i w:val="0"/>
          <w:iCs w:val="0"/>
          <w:sz w:val="24"/>
          <w:szCs w:val="24"/>
        </w:rPr>
      </w:pPr>
      <w:r>
        <w:rPr>
          <w:rFonts w:ascii="SF COMPACT LIGHT" w:hAnsi="SF COMPACT LIGHT"/>
          <w:i w:val="0"/>
          <w:iCs w:val="0"/>
          <w:sz w:val="24"/>
          <w:szCs w:val="24"/>
        </w:rPr>
        <w:t>The Idea for the Fund was created from previous research and classwork. The underlying was a research paper on the movement of a stock’s alpha and beta over time. Using two periods, 2013-2018 &amp; 2018-2023, using S&amp;P 500 stocks, only 20% of betas significantly changed over the five-year period. Across industries, the average change of the industry beta in the same time period was only 0.127. Combining this from a research paper I read from a class about betting against beta, I thought of combing these two. To test this farther, instead of using monthly five-year data, I wanted to use daily year data, to get shorter time period, and more observations. Using data from 2000-2023, the average change in beta from year to year for each stock was 0.27, however the median change was 0.20. For alpha, the average change in alpha was 14 bps per day, compared to the median of 10 bps per day. For the alpha this is a relatively large shift from year to year. However, when having a positive alpha the previous year, the stock had a positive alpha the following year 57% of the time.</w:t>
      </w:r>
    </w:p>
    <w:p w14:paraId="724C2DE4" w14:textId="77777777" w:rsidR="00426040" w:rsidRDefault="00426040" w:rsidP="00426040">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Creating the Portfolio</w:t>
      </w:r>
    </w:p>
    <w:p w14:paraId="2D1F2335" w14:textId="32CD279D" w:rsidR="00770653" w:rsidRDefault="00426040" w:rsidP="00426040">
      <w:pPr>
        <w:rPr>
          <w:rFonts w:ascii="SF COMPACT LIGHT" w:hAnsi="SF COMPACT LIGHT"/>
          <w:i w:val="0"/>
          <w:iCs w:val="0"/>
          <w:sz w:val="24"/>
          <w:szCs w:val="24"/>
        </w:rPr>
      </w:pPr>
      <w:r>
        <w:rPr>
          <w:rFonts w:ascii="SF COMPACT LIGHT" w:hAnsi="SF COMPACT LIGHT"/>
          <w:i w:val="0"/>
          <w:iCs w:val="0"/>
          <w:sz w:val="24"/>
          <w:szCs w:val="24"/>
        </w:rPr>
        <w:t xml:space="preserve">In creating the portfolio, the hardest part was finding a way to combine these two metrics to create the best mix of high alphas and low betas. The pool of stocks I used to create the portfolios was the 3000 largest stocks by market cap as of 2023.The hardest part about going back and creating the weightings is by trying to maximize results, so I wanted a set it from the start. To start of I calculated the previous year’s CAPM coefficients from a six-factor CAPM. From there, the coefficients get normalized against ever stocks coefficients from that year. There were a few reasons I standardized them. Firstly, it makes all for the coefficients in similar values. Secondly, since I used stocks from today to regress against the S&amp;P 500, some of these stocks weren’t around back then, as well as some firms going bankrupt or delisted. For example, in 2000 the average beta was around 0.81 from the stocks used in regression. For betas, to get the low betas weighted higher, I had to multiply the coefficients by -1.  After normalizing the alpha and betas, I had to combine them. I decided to put multiply the normalized alphas and betas to produce a raw weight. I put a cap on this raw weight, and then produced a weight summing to zero to create my </w:t>
      </w:r>
      <w:r>
        <w:rPr>
          <w:rFonts w:ascii="SF COMPACT LIGHT" w:hAnsi="SF COMPACT LIGHT"/>
          <w:i w:val="0"/>
          <w:iCs w:val="0"/>
          <w:sz w:val="24"/>
          <w:szCs w:val="24"/>
        </w:rPr>
        <w:lastRenderedPageBreak/>
        <w:t xml:space="preserve">portfolio. The portfolio is then finished for the year until the process is run again the following year. The portfolio does not change </w:t>
      </w:r>
      <w:r>
        <w:rPr>
          <w:rFonts w:ascii="SF COMPACT LIGHT" w:hAnsi="SF COMPACT LIGHT"/>
          <w:i w:val="0"/>
          <w:iCs w:val="0"/>
          <w:sz w:val="24"/>
          <w:szCs w:val="24"/>
        </w:rPr>
        <w:t xml:space="preserve">throughout </w:t>
      </w:r>
      <w:r>
        <w:rPr>
          <w:rFonts w:ascii="SF COMPACT LIGHT" w:hAnsi="SF COMPACT LIGHT"/>
          <w:i w:val="0"/>
          <w:iCs w:val="0"/>
          <w:sz w:val="24"/>
          <w:szCs w:val="24"/>
        </w:rPr>
        <w:t>the year, besides weight changes from the stocks’ movements in the market.</w:t>
      </w:r>
      <w:r>
        <w:rPr>
          <w:rFonts w:ascii="SF COMPACT LIGHT" w:hAnsi="SF COMPACT LIGHT"/>
          <w:i w:val="0"/>
          <w:iCs w:val="0"/>
          <w:sz w:val="24"/>
          <w:szCs w:val="24"/>
        </w:rPr>
        <w:t xml:space="preserve"> </w:t>
      </w:r>
    </w:p>
    <w:p w14:paraId="5B2556D3" w14:textId="237A79C3" w:rsidR="00893824" w:rsidRDefault="00893824" w:rsidP="00893824">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Fund Information</w:t>
      </w:r>
    </w:p>
    <w:p w14:paraId="7231A7C8" w14:textId="5681209E" w:rsidR="00770653" w:rsidRDefault="00893824" w:rsidP="0093756D">
      <w:pPr>
        <w:rPr>
          <w:rFonts w:ascii="SF COMPACT LIGHT" w:hAnsi="SF COMPACT LIGHT"/>
          <w:i w:val="0"/>
          <w:iCs w:val="0"/>
          <w:sz w:val="24"/>
          <w:szCs w:val="24"/>
        </w:rPr>
      </w:pPr>
      <w:r>
        <w:rPr>
          <w:rFonts w:ascii="SF COMPACT LIGHT" w:hAnsi="SF COMPACT LIGHT"/>
          <w:i w:val="0"/>
          <w:iCs w:val="0"/>
          <w:sz w:val="24"/>
          <w:szCs w:val="24"/>
        </w:rPr>
        <w:t>The fund will almost be as if it were an index fund. It is a passive fund as it doesn’t trade except for the first of the year. When it comes to fees, it will be minimal, around 0.</w:t>
      </w:r>
      <w:r w:rsidR="00770653">
        <w:rPr>
          <w:rFonts w:ascii="SF COMPACT LIGHT" w:hAnsi="SF COMPACT LIGHT"/>
          <w:i w:val="0"/>
          <w:iCs w:val="0"/>
          <w:sz w:val="24"/>
          <w:szCs w:val="24"/>
        </w:rPr>
        <w:t>25</w:t>
      </w:r>
      <w:r>
        <w:rPr>
          <w:rFonts w:ascii="SF COMPACT LIGHT" w:hAnsi="SF COMPACT LIGHT"/>
          <w:i w:val="0"/>
          <w:iCs w:val="0"/>
          <w:sz w:val="24"/>
          <w:szCs w:val="24"/>
        </w:rPr>
        <w:t>% of invested funds yearly</w:t>
      </w:r>
      <w:r w:rsidR="00770653">
        <w:rPr>
          <w:rFonts w:ascii="SF COMPACT LIGHT" w:hAnsi="SF COMPACT LIGHT"/>
          <w:i w:val="0"/>
          <w:iCs w:val="0"/>
          <w:sz w:val="24"/>
          <w:szCs w:val="24"/>
        </w:rPr>
        <w:t>.</w:t>
      </w:r>
      <w:r w:rsidR="0093756D">
        <w:rPr>
          <w:rFonts w:ascii="SF COMPACT LIGHT" w:hAnsi="SF COMPACT LIGHT"/>
          <w:i w:val="0"/>
          <w:iCs w:val="0"/>
          <w:sz w:val="24"/>
          <w:szCs w:val="24"/>
        </w:rPr>
        <w:t xml:space="preserve"> When it comes to investors, there won’t be any </w:t>
      </w:r>
      <w:r w:rsidR="00770653">
        <w:rPr>
          <w:rFonts w:ascii="SF COMPACT LIGHT" w:hAnsi="SF COMPACT LIGHT"/>
          <w:i w:val="0"/>
          <w:iCs w:val="0"/>
          <w:sz w:val="24"/>
          <w:szCs w:val="24"/>
        </w:rPr>
        <w:t>constraints on who can invest in the fund. Given the minimal trading and reweighting of the portfolio, the fund is predetermined through out the year. There will be a small fee when buying into the fund due to the trading costs of the large number of the stocks.</w:t>
      </w:r>
    </w:p>
    <w:p w14:paraId="64B420C4" w14:textId="3668F6CD" w:rsidR="00770653" w:rsidRDefault="00770653" w:rsidP="00770653">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 xml:space="preserve">Fund </w:t>
      </w:r>
      <w:r>
        <w:rPr>
          <w:rFonts w:ascii="SF COMPACT MEDIUM" w:hAnsi="SF COMPACT MEDIUM"/>
          <w:i w:val="0"/>
          <w:iCs w:val="0"/>
          <w:sz w:val="24"/>
          <w:szCs w:val="24"/>
        </w:rPr>
        <w:t>Performance &amp; Evaluation</w:t>
      </w:r>
    </w:p>
    <w:p w14:paraId="4553FB7F" w14:textId="15827E21" w:rsidR="00770653" w:rsidRDefault="00770653" w:rsidP="0093756D">
      <w:pPr>
        <w:rPr>
          <w:rFonts w:ascii="SF COMPACT LIGHT" w:hAnsi="SF COMPACT LIGHT"/>
          <w:i w:val="0"/>
          <w:iCs w:val="0"/>
          <w:sz w:val="24"/>
          <w:szCs w:val="24"/>
        </w:rPr>
      </w:pPr>
      <w:r>
        <w:rPr>
          <w:rFonts w:ascii="SF COMPACT LIGHT" w:hAnsi="SF COMPACT LIGHT"/>
          <w:i w:val="0"/>
          <w:iCs w:val="0"/>
          <w:sz w:val="24"/>
          <w:szCs w:val="24"/>
        </w:rPr>
        <w:t>When it came to back test the portfolio</w:t>
      </w:r>
      <w:r w:rsidR="000930AE">
        <w:rPr>
          <w:rFonts w:ascii="SF COMPACT LIGHT" w:hAnsi="SF COMPACT LIGHT"/>
          <w:i w:val="0"/>
          <w:iCs w:val="0"/>
          <w:sz w:val="24"/>
          <w:szCs w:val="24"/>
        </w:rPr>
        <w:t xml:space="preserve">, there were two indexes I regressed against. First to get the coefficients of the previous years I used the Fama-French ‘mkt-rf’ index. This was offset with the standardization of the coefficients. For measuring the portfolio’s returns and regressions, I used an equally weighted </w:t>
      </w:r>
      <w:r w:rsidR="00327355">
        <w:rPr>
          <w:rFonts w:ascii="SF COMPACT LIGHT" w:hAnsi="SF COMPACT LIGHT"/>
          <w:i w:val="0"/>
          <w:iCs w:val="0"/>
          <w:sz w:val="24"/>
          <w:szCs w:val="24"/>
        </w:rPr>
        <w:t xml:space="preserve">index of all the stocks that </w:t>
      </w:r>
      <w:r w:rsidR="00335DC3">
        <w:rPr>
          <w:rFonts w:ascii="SF COMPACT LIGHT" w:hAnsi="SF COMPACT LIGHT"/>
          <w:i w:val="0"/>
          <w:iCs w:val="0"/>
          <w:sz w:val="24"/>
          <w:szCs w:val="24"/>
        </w:rPr>
        <w:t>had were weighted that year. This includes stocks that had 0 weight either from being above the median beta or below the median alpha of the previous year. Below is an overview of different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4760"/>
      </w:tblGrid>
      <w:tr w:rsidR="00E04C48" w14:paraId="2B08F278" w14:textId="77777777" w:rsidTr="00E04C48">
        <w:tc>
          <w:tcPr>
            <w:tcW w:w="3780" w:type="dxa"/>
          </w:tcPr>
          <w:p w14:paraId="7B5D19E2" w14:textId="3257D8AD" w:rsidR="00335DC3" w:rsidRDefault="00335DC3" w:rsidP="0093756D">
            <w:pPr>
              <w:rPr>
                <w:rFonts w:ascii="SF COMPACT LIGHT" w:hAnsi="SF COMPACT LIGHT"/>
                <w:i w:val="0"/>
                <w:iCs w:val="0"/>
                <w:sz w:val="24"/>
                <w:szCs w:val="24"/>
              </w:rPr>
            </w:pPr>
            <w:r>
              <w:rPr>
                <w:noProof/>
              </w:rPr>
              <w:drawing>
                <wp:inline distT="0" distB="0" distL="0" distR="0" wp14:anchorId="6F202236" wp14:editId="52A0A035">
                  <wp:extent cx="2869325" cy="2931795"/>
                  <wp:effectExtent l="0" t="0" r="1270" b="1905"/>
                  <wp:docPr id="882655152" name="Chart 1">
                    <a:extLst xmlns:a="http://schemas.openxmlformats.org/drawingml/2006/main">
                      <a:ext uri="{FF2B5EF4-FFF2-40B4-BE49-F238E27FC236}">
                        <a16:creationId xmlns:a16="http://schemas.microsoft.com/office/drawing/2014/main" id="{1BD8ED48-BE9A-D5C7-E309-9ED5A01EE6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5580" w:type="dxa"/>
          </w:tcPr>
          <w:p w14:paraId="3DB6DB54" w14:textId="0BCE6AB6" w:rsidR="00335DC3" w:rsidRDefault="00E04C48" w:rsidP="0093756D">
            <w:pPr>
              <w:rPr>
                <w:rFonts w:ascii="SF COMPACT LIGHT" w:hAnsi="SF COMPACT LIGHT"/>
                <w:i w:val="0"/>
                <w:iCs w:val="0"/>
                <w:sz w:val="24"/>
                <w:szCs w:val="24"/>
              </w:rPr>
            </w:pPr>
            <w:r>
              <w:rPr>
                <w:noProof/>
              </w:rPr>
              <w:drawing>
                <wp:inline distT="0" distB="0" distL="0" distR="0" wp14:anchorId="08E08C15" wp14:editId="772EE745">
                  <wp:extent cx="2974340" cy="2931795"/>
                  <wp:effectExtent l="0" t="0" r="0" b="1905"/>
                  <wp:docPr id="1071777032" name="Chart 1">
                    <a:extLst xmlns:a="http://schemas.openxmlformats.org/drawingml/2006/main">
                      <a:ext uri="{FF2B5EF4-FFF2-40B4-BE49-F238E27FC236}">
                        <a16:creationId xmlns:a16="http://schemas.microsoft.com/office/drawing/2014/main" id="{2BDFFB67-854B-BD42-9F8F-BE504A164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3A40BFF6" w14:textId="18CE35A3" w:rsidR="00A66362" w:rsidRDefault="00E04C48" w:rsidP="00E06EE3">
      <w:pPr>
        <w:rPr>
          <w:rFonts w:ascii="SF COMPACT LIGHT" w:hAnsi="SF COMPACT LIGHT"/>
          <w:i w:val="0"/>
          <w:iCs w:val="0"/>
          <w:sz w:val="24"/>
          <w:szCs w:val="24"/>
        </w:rPr>
      </w:pPr>
      <w:r>
        <w:rPr>
          <w:rFonts w:ascii="SF COMPACT LIGHT" w:hAnsi="SF COMPACT LIGHT"/>
          <w:i w:val="0"/>
          <w:iCs w:val="0"/>
          <w:sz w:val="24"/>
          <w:szCs w:val="24"/>
        </w:rPr>
        <w:t xml:space="preserve">Compared to the equal weighted portfolio, the fund had a higher total return compared to the market all but one year. The average return of the portfolio over the </w:t>
      </w:r>
      <w:r>
        <w:rPr>
          <w:rFonts w:ascii="SF COMPACT LIGHT" w:hAnsi="SF COMPACT LIGHT"/>
          <w:i w:val="0"/>
          <w:iCs w:val="0"/>
          <w:sz w:val="24"/>
          <w:szCs w:val="24"/>
        </w:rPr>
        <w:lastRenderedPageBreak/>
        <w:t xml:space="preserve">23 years is 32.9% compared to 14.4% of the equal weighted portfolio. In terms of alpha, the fund had a positive alpha every year, including double digit alpha in all but three years. The average yearly alpha over the same period was 23.7%. </w:t>
      </w:r>
      <w:r w:rsidR="00A66362">
        <w:rPr>
          <w:rFonts w:ascii="SF COMPACT LIGHT" w:hAnsi="SF COMPACT LIGHT"/>
          <w:i w:val="0"/>
          <w:iCs w:val="0"/>
          <w:sz w:val="24"/>
          <w:szCs w:val="24"/>
        </w:rPr>
        <w:t xml:space="preserve">When running a regression of everyday over the last 23 years, the portfolio had an alpha of 7 bps per day or 19.1% annualized. The </w:t>
      </w:r>
      <w:r w:rsidR="00E06EE3">
        <w:rPr>
          <w:rFonts w:ascii="SF COMPACT LIGHT" w:hAnsi="SF COMPACT LIGHT"/>
          <w:i w:val="0"/>
          <w:iCs w:val="0"/>
          <w:sz w:val="24"/>
          <w:szCs w:val="24"/>
        </w:rPr>
        <w:t>funds beta over the 2023 years was 0.75. The daily volatility of was 1.30% compared to the equally weighted’s volatility of 1.32%.</w:t>
      </w:r>
    </w:p>
    <w:p w14:paraId="600EB408" w14:textId="21AE3633" w:rsidR="00940CB4" w:rsidRPr="00940CB4" w:rsidRDefault="00940CB4" w:rsidP="00940CB4">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Fund Makeup</w:t>
      </w:r>
    </w:p>
    <w:p w14:paraId="4E3AF461" w14:textId="07ADB9D2" w:rsidR="0017305B" w:rsidRDefault="00E06EE3" w:rsidP="0093756D">
      <w:pPr>
        <w:rPr>
          <w:rFonts w:ascii="SF COMPACT LIGHT" w:hAnsi="SF COMPACT LIGHT"/>
          <w:i w:val="0"/>
          <w:iCs w:val="0"/>
          <w:sz w:val="24"/>
          <w:szCs w:val="24"/>
        </w:rPr>
      </w:pPr>
      <w:r>
        <w:rPr>
          <w:noProof/>
        </w:rPr>
        <w:drawing>
          <wp:inline distT="0" distB="0" distL="0" distR="0" wp14:anchorId="77C7B182" wp14:editId="019A1829">
            <wp:extent cx="5943600" cy="2317687"/>
            <wp:effectExtent l="0" t="0" r="0" b="0"/>
            <wp:docPr id="1535649923" name="Chart 1">
              <a:extLst xmlns:a="http://schemas.openxmlformats.org/drawingml/2006/main">
                <a:ext uri="{FF2B5EF4-FFF2-40B4-BE49-F238E27FC236}">
                  <a16:creationId xmlns:a16="http://schemas.microsoft.com/office/drawing/2014/main" id="{10E41D7B-47CA-9B51-0BFB-0935C687B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AE1D1B" w14:textId="765AEEF7" w:rsidR="0017305B" w:rsidRDefault="00E06EE3" w:rsidP="0093756D">
      <w:pPr>
        <w:rPr>
          <w:rFonts w:ascii="SF COMPACT LIGHT" w:hAnsi="SF COMPACT LIGHT"/>
          <w:i w:val="0"/>
          <w:iCs w:val="0"/>
          <w:sz w:val="24"/>
          <w:szCs w:val="24"/>
        </w:rPr>
      </w:pPr>
      <w:r>
        <w:rPr>
          <w:rFonts w:ascii="SF COMPACT LIGHT" w:hAnsi="SF COMPACT LIGHT"/>
          <w:i w:val="0"/>
          <w:iCs w:val="0"/>
          <w:sz w:val="24"/>
          <w:szCs w:val="24"/>
        </w:rPr>
        <w:t>The portfolio is made of low beta sectors, with the biggest being Healthcare. To see if th</w:t>
      </w:r>
      <w:r w:rsidR="0017305B">
        <w:rPr>
          <w:rFonts w:ascii="SF COMPACT LIGHT" w:hAnsi="SF COMPACT LIGHT"/>
          <w:i w:val="0"/>
          <w:iCs w:val="0"/>
          <w:sz w:val="24"/>
          <w:szCs w:val="24"/>
        </w:rPr>
        <w:t>e portfolio was driving its return and alpha from just the healthcare sector, I created a portfolio inside each sector using the same method as the overall. It yielded similar results. Below is a table of these results. Healthcare is still leading the way, but on average the philosophy of previous low beta and high alpha</w:t>
      </w:r>
      <w:r w:rsidR="00C05F03">
        <w:rPr>
          <w:rFonts w:ascii="SF COMPACT LIGHT" w:hAnsi="SF COMPACT LIGHT"/>
          <w:i w:val="0"/>
          <w:iCs w:val="0"/>
          <w:sz w:val="24"/>
          <w:szCs w:val="24"/>
        </w:rPr>
        <w:t xml:space="preserve"> still beats the sector average. </w:t>
      </w:r>
    </w:p>
    <w:tbl>
      <w:tblPr>
        <w:tblW w:w="6880" w:type="dxa"/>
        <w:jc w:val="center"/>
        <w:tblLook w:val="04A0" w:firstRow="1" w:lastRow="0" w:firstColumn="1" w:lastColumn="0" w:noHBand="0" w:noVBand="1"/>
      </w:tblPr>
      <w:tblGrid>
        <w:gridCol w:w="2600"/>
        <w:gridCol w:w="1225"/>
        <w:gridCol w:w="910"/>
        <w:gridCol w:w="1000"/>
        <w:gridCol w:w="1280"/>
      </w:tblGrid>
      <w:tr w:rsidR="00C05F03" w:rsidRPr="00C05F03" w14:paraId="4A27F637" w14:textId="77777777" w:rsidTr="00546365">
        <w:trPr>
          <w:trHeight w:val="280"/>
          <w:jc w:val="center"/>
        </w:trPr>
        <w:tc>
          <w:tcPr>
            <w:tcW w:w="2600" w:type="dxa"/>
            <w:tcBorders>
              <w:top w:val="nil"/>
              <w:left w:val="nil"/>
              <w:bottom w:val="single" w:sz="4" w:space="0" w:color="auto"/>
              <w:right w:val="single" w:sz="4" w:space="0" w:color="auto"/>
            </w:tcBorders>
            <w:shd w:val="clear" w:color="auto" w:fill="auto"/>
            <w:noWrap/>
            <w:vAlign w:val="bottom"/>
            <w:hideMark/>
          </w:tcPr>
          <w:p w14:paraId="0DE49DB8"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sector</w:t>
            </w:r>
          </w:p>
        </w:tc>
        <w:tc>
          <w:tcPr>
            <w:tcW w:w="1090" w:type="dxa"/>
            <w:tcBorders>
              <w:top w:val="nil"/>
              <w:left w:val="nil"/>
              <w:bottom w:val="single" w:sz="4" w:space="0" w:color="auto"/>
              <w:right w:val="nil"/>
            </w:tcBorders>
            <w:shd w:val="clear" w:color="auto" w:fill="auto"/>
            <w:noWrap/>
            <w:vAlign w:val="bottom"/>
            <w:hideMark/>
          </w:tcPr>
          <w:p w14:paraId="16834E6C"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Pr>
                <w:rFonts w:ascii="SF COMPACT LIGHT" w:eastAsia="Times New Roman" w:hAnsi="SF COMPACT LIGHT" w:cs="JetBrainsMono-Light"/>
                <w:i w:val="0"/>
                <w:iCs w:val="0"/>
                <w:color w:val="000000"/>
              </w:rPr>
              <w:t xml:space="preserve">Annualized </w:t>
            </w:r>
            <w:r w:rsidRPr="00C05F03">
              <w:rPr>
                <w:rFonts w:ascii="SF COMPACT LIGHT" w:eastAsia="Times New Roman" w:hAnsi="SF COMPACT LIGHT" w:cs="JetBrainsMono-Light"/>
                <w:i w:val="0"/>
                <w:iCs w:val="0"/>
                <w:color w:val="000000"/>
              </w:rPr>
              <w:t>Alpha</w:t>
            </w:r>
          </w:p>
        </w:tc>
        <w:tc>
          <w:tcPr>
            <w:tcW w:w="910" w:type="dxa"/>
            <w:tcBorders>
              <w:top w:val="nil"/>
              <w:left w:val="nil"/>
              <w:bottom w:val="single" w:sz="4" w:space="0" w:color="auto"/>
              <w:right w:val="nil"/>
            </w:tcBorders>
            <w:shd w:val="clear" w:color="auto" w:fill="auto"/>
            <w:noWrap/>
            <w:vAlign w:val="bottom"/>
            <w:hideMark/>
          </w:tcPr>
          <w:p w14:paraId="4664500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Return Diff.</w:t>
            </w:r>
          </w:p>
        </w:tc>
        <w:tc>
          <w:tcPr>
            <w:tcW w:w="1000" w:type="dxa"/>
            <w:tcBorders>
              <w:top w:val="nil"/>
              <w:left w:val="nil"/>
              <w:bottom w:val="single" w:sz="4" w:space="0" w:color="auto"/>
              <w:right w:val="nil"/>
            </w:tcBorders>
            <w:shd w:val="clear" w:color="auto" w:fill="auto"/>
            <w:noWrap/>
            <w:vAlign w:val="bottom"/>
            <w:hideMark/>
          </w:tcPr>
          <w:p w14:paraId="115E679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Beta Diff</w:t>
            </w:r>
            <w:r>
              <w:rPr>
                <w:rFonts w:ascii="SF COMPACT LIGHT" w:eastAsia="Times New Roman" w:hAnsi="SF COMPACT LIGHT" w:cs="JetBrainsMono-Light"/>
                <w:i w:val="0"/>
                <w:iCs w:val="0"/>
                <w:color w:val="000000"/>
              </w:rPr>
              <w:t>.</w:t>
            </w:r>
          </w:p>
        </w:tc>
        <w:tc>
          <w:tcPr>
            <w:tcW w:w="1280" w:type="dxa"/>
            <w:tcBorders>
              <w:top w:val="nil"/>
              <w:left w:val="nil"/>
              <w:bottom w:val="single" w:sz="4" w:space="0" w:color="auto"/>
              <w:right w:val="nil"/>
            </w:tcBorders>
            <w:shd w:val="clear" w:color="auto" w:fill="auto"/>
            <w:noWrap/>
            <w:vAlign w:val="bottom"/>
            <w:hideMark/>
          </w:tcPr>
          <w:p w14:paraId="6DB815C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Avg. Weight</w:t>
            </w:r>
          </w:p>
        </w:tc>
      </w:tr>
      <w:tr w:rsidR="00C05F03" w:rsidRPr="00C05F03" w14:paraId="6577C04D"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A1D791D"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Healthcare</w:t>
            </w:r>
          </w:p>
        </w:tc>
        <w:tc>
          <w:tcPr>
            <w:tcW w:w="1090" w:type="dxa"/>
            <w:tcBorders>
              <w:top w:val="nil"/>
              <w:left w:val="nil"/>
              <w:bottom w:val="nil"/>
              <w:right w:val="nil"/>
            </w:tcBorders>
            <w:shd w:val="clear" w:color="auto" w:fill="auto"/>
            <w:noWrap/>
            <w:vAlign w:val="bottom"/>
            <w:hideMark/>
          </w:tcPr>
          <w:p w14:paraId="57BC454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27.7%</w:t>
            </w:r>
          </w:p>
        </w:tc>
        <w:tc>
          <w:tcPr>
            <w:tcW w:w="910" w:type="dxa"/>
            <w:tcBorders>
              <w:top w:val="nil"/>
              <w:left w:val="nil"/>
              <w:bottom w:val="nil"/>
              <w:right w:val="nil"/>
            </w:tcBorders>
            <w:shd w:val="clear" w:color="auto" w:fill="auto"/>
            <w:noWrap/>
            <w:vAlign w:val="bottom"/>
            <w:hideMark/>
          </w:tcPr>
          <w:p w14:paraId="6CBA4BF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27.8%</w:t>
            </w:r>
          </w:p>
        </w:tc>
        <w:tc>
          <w:tcPr>
            <w:tcW w:w="1000" w:type="dxa"/>
            <w:tcBorders>
              <w:top w:val="nil"/>
              <w:left w:val="nil"/>
              <w:bottom w:val="nil"/>
              <w:right w:val="nil"/>
            </w:tcBorders>
            <w:shd w:val="clear" w:color="auto" w:fill="auto"/>
            <w:noWrap/>
            <w:vAlign w:val="bottom"/>
            <w:hideMark/>
          </w:tcPr>
          <w:p w14:paraId="420061A0"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-0.272</w:t>
            </w:r>
          </w:p>
        </w:tc>
        <w:tc>
          <w:tcPr>
            <w:tcW w:w="1280" w:type="dxa"/>
            <w:tcBorders>
              <w:top w:val="nil"/>
              <w:left w:val="nil"/>
              <w:bottom w:val="nil"/>
              <w:right w:val="nil"/>
            </w:tcBorders>
            <w:shd w:val="clear" w:color="000000" w:fill="3773FF"/>
            <w:noWrap/>
            <w:vAlign w:val="bottom"/>
            <w:hideMark/>
          </w:tcPr>
          <w:p w14:paraId="23AE0162"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FFFFFF"/>
              </w:rPr>
            </w:pPr>
            <w:r w:rsidRPr="00C05F03">
              <w:rPr>
                <w:rFonts w:ascii="JetBrainsMono-Light" w:eastAsia="Times New Roman" w:hAnsi="JetBrainsMono-Light" w:cs="JetBrainsMono-Light"/>
                <w:i w:val="0"/>
                <w:iCs w:val="0"/>
                <w:color w:val="FFFFFF"/>
              </w:rPr>
              <w:t>21%</w:t>
            </w:r>
          </w:p>
        </w:tc>
      </w:tr>
      <w:tr w:rsidR="00C05F03" w:rsidRPr="00C05F03" w14:paraId="0C374AAA"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3E19308D"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Financial Services</w:t>
            </w:r>
          </w:p>
        </w:tc>
        <w:tc>
          <w:tcPr>
            <w:tcW w:w="1090" w:type="dxa"/>
            <w:tcBorders>
              <w:top w:val="nil"/>
              <w:left w:val="nil"/>
              <w:bottom w:val="nil"/>
              <w:right w:val="nil"/>
            </w:tcBorders>
            <w:shd w:val="clear" w:color="auto" w:fill="auto"/>
            <w:noWrap/>
            <w:vAlign w:val="bottom"/>
            <w:hideMark/>
          </w:tcPr>
          <w:p w14:paraId="67685E3F"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9.4%</w:t>
            </w:r>
          </w:p>
        </w:tc>
        <w:tc>
          <w:tcPr>
            <w:tcW w:w="910" w:type="dxa"/>
            <w:tcBorders>
              <w:top w:val="nil"/>
              <w:left w:val="nil"/>
              <w:bottom w:val="nil"/>
              <w:right w:val="nil"/>
            </w:tcBorders>
            <w:shd w:val="clear" w:color="auto" w:fill="auto"/>
            <w:noWrap/>
            <w:vAlign w:val="bottom"/>
            <w:hideMark/>
          </w:tcPr>
          <w:p w14:paraId="29F48C9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8.0%</w:t>
            </w:r>
          </w:p>
        </w:tc>
        <w:tc>
          <w:tcPr>
            <w:tcW w:w="1000" w:type="dxa"/>
            <w:tcBorders>
              <w:top w:val="nil"/>
              <w:left w:val="nil"/>
              <w:bottom w:val="nil"/>
              <w:right w:val="nil"/>
            </w:tcBorders>
            <w:shd w:val="clear" w:color="auto" w:fill="auto"/>
            <w:noWrap/>
            <w:vAlign w:val="bottom"/>
            <w:hideMark/>
          </w:tcPr>
          <w:p w14:paraId="25C2B12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-0.306</w:t>
            </w:r>
          </w:p>
        </w:tc>
        <w:tc>
          <w:tcPr>
            <w:tcW w:w="1280" w:type="dxa"/>
            <w:tcBorders>
              <w:top w:val="nil"/>
              <w:left w:val="nil"/>
              <w:bottom w:val="nil"/>
              <w:right w:val="nil"/>
            </w:tcBorders>
            <w:shd w:val="clear" w:color="000000" w:fill="89ACFF"/>
            <w:noWrap/>
            <w:vAlign w:val="bottom"/>
            <w:hideMark/>
          </w:tcPr>
          <w:p w14:paraId="3912403E"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14%</w:t>
            </w:r>
          </w:p>
        </w:tc>
      </w:tr>
      <w:tr w:rsidR="00C05F03" w:rsidRPr="00C05F03" w14:paraId="364B075A"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403821D1"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Industrials</w:t>
            </w:r>
          </w:p>
        </w:tc>
        <w:tc>
          <w:tcPr>
            <w:tcW w:w="1090" w:type="dxa"/>
            <w:tcBorders>
              <w:top w:val="nil"/>
              <w:left w:val="nil"/>
              <w:bottom w:val="nil"/>
              <w:right w:val="nil"/>
            </w:tcBorders>
            <w:shd w:val="clear" w:color="auto" w:fill="auto"/>
            <w:noWrap/>
            <w:vAlign w:val="bottom"/>
            <w:hideMark/>
          </w:tcPr>
          <w:p w14:paraId="4476226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9.8%</w:t>
            </w:r>
          </w:p>
        </w:tc>
        <w:tc>
          <w:tcPr>
            <w:tcW w:w="910" w:type="dxa"/>
            <w:tcBorders>
              <w:top w:val="nil"/>
              <w:left w:val="nil"/>
              <w:bottom w:val="nil"/>
              <w:right w:val="nil"/>
            </w:tcBorders>
            <w:shd w:val="clear" w:color="auto" w:fill="auto"/>
            <w:noWrap/>
            <w:vAlign w:val="bottom"/>
            <w:hideMark/>
          </w:tcPr>
          <w:p w14:paraId="031263DF"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5.0%</w:t>
            </w:r>
          </w:p>
        </w:tc>
        <w:tc>
          <w:tcPr>
            <w:tcW w:w="1000" w:type="dxa"/>
            <w:tcBorders>
              <w:top w:val="nil"/>
              <w:left w:val="nil"/>
              <w:bottom w:val="nil"/>
              <w:right w:val="nil"/>
            </w:tcBorders>
            <w:shd w:val="clear" w:color="auto" w:fill="auto"/>
            <w:noWrap/>
            <w:vAlign w:val="bottom"/>
            <w:hideMark/>
          </w:tcPr>
          <w:p w14:paraId="738E1A0E"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-0.316</w:t>
            </w:r>
          </w:p>
        </w:tc>
        <w:tc>
          <w:tcPr>
            <w:tcW w:w="1280" w:type="dxa"/>
            <w:tcBorders>
              <w:top w:val="nil"/>
              <w:left w:val="nil"/>
              <w:bottom w:val="nil"/>
              <w:right w:val="nil"/>
            </w:tcBorders>
            <w:shd w:val="clear" w:color="000000" w:fill="93B3FF"/>
            <w:noWrap/>
            <w:vAlign w:val="bottom"/>
            <w:hideMark/>
          </w:tcPr>
          <w:p w14:paraId="2D8A8632"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13%</w:t>
            </w:r>
          </w:p>
        </w:tc>
      </w:tr>
      <w:tr w:rsidR="00C05F03" w:rsidRPr="00C05F03" w14:paraId="034E4168"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765E3B4"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Basic Materials</w:t>
            </w:r>
          </w:p>
        </w:tc>
        <w:tc>
          <w:tcPr>
            <w:tcW w:w="1090" w:type="dxa"/>
            <w:tcBorders>
              <w:top w:val="nil"/>
              <w:left w:val="nil"/>
              <w:bottom w:val="nil"/>
              <w:right w:val="nil"/>
            </w:tcBorders>
            <w:shd w:val="clear" w:color="auto" w:fill="auto"/>
            <w:noWrap/>
            <w:vAlign w:val="bottom"/>
            <w:hideMark/>
          </w:tcPr>
          <w:p w14:paraId="1ADD72B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9.3%</w:t>
            </w:r>
          </w:p>
        </w:tc>
        <w:tc>
          <w:tcPr>
            <w:tcW w:w="910" w:type="dxa"/>
            <w:tcBorders>
              <w:top w:val="nil"/>
              <w:left w:val="nil"/>
              <w:bottom w:val="nil"/>
              <w:right w:val="nil"/>
            </w:tcBorders>
            <w:shd w:val="clear" w:color="auto" w:fill="auto"/>
            <w:noWrap/>
            <w:vAlign w:val="bottom"/>
            <w:hideMark/>
          </w:tcPr>
          <w:p w14:paraId="3C85C558"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3.0%</w:t>
            </w:r>
          </w:p>
        </w:tc>
        <w:tc>
          <w:tcPr>
            <w:tcW w:w="1000" w:type="dxa"/>
            <w:tcBorders>
              <w:top w:val="nil"/>
              <w:left w:val="nil"/>
              <w:bottom w:val="nil"/>
              <w:right w:val="nil"/>
            </w:tcBorders>
            <w:shd w:val="clear" w:color="auto" w:fill="auto"/>
            <w:noWrap/>
            <w:vAlign w:val="bottom"/>
            <w:hideMark/>
          </w:tcPr>
          <w:p w14:paraId="72F0A106"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-0.428</w:t>
            </w:r>
          </w:p>
        </w:tc>
        <w:tc>
          <w:tcPr>
            <w:tcW w:w="1280" w:type="dxa"/>
            <w:tcBorders>
              <w:top w:val="nil"/>
              <w:left w:val="nil"/>
              <w:bottom w:val="nil"/>
              <w:right w:val="nil"/>
            </w:tcBorders>
            <w:shd w:val="clear" w:color="000000" w:fill="A1BDFF"/>
            <w:noWrap/>
            <w:vAlign w:val="bottom"/>
            <w:hideMark/>
          </w:tcPr>
          <w:p w14:paraId="145E5E24"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11%</w:t>
            </w:r>
          </w:p>
        </w:tc>
      </w:tr>
      <w:tr w:rsidR="00C05F03" w:rsidRPr="00C05F03" w14:paraId="761BB087"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6C2FDA57"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Technology</w:t>
            </w:r>
          </w:p>
        </w:tc>
        <w:tc>
          <w:tcPr>
            <w:tcW w:w="1090" w:type="dxa"/>
            <w:tcBorders>
              <w:top w:val="nil"/>
              <w:left w:val="nil"/>
              <w:bottom w:val="nil"/>
              <w:right w:val="nil"/>
            </w:tcBorders>
            <w:shd w:val="clear" w:color="auto" w:fill="auto"/>
            <w:noWrap/>
            <w:vAlign w:val="bottom"/>
            <w:hideMark/>
          </w:tcPr>
          <w:p w14:paraId="02D83838"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8.8%</w:t>
            </w:r>
          </w:p>
        </w:tc>
        <w:tc>
          <w:tcPr>
            <w:tcW w:w="910" w:type="dxa"/>
            <w:tcBorders>
              <w:top w:val="nil"/>
              <w:left w:val="nil"/>
              <w:bottom w:val="nil"/>
              <w:right w:val="nil"/>
            </w:tcBorders>
            <w:shd w:val="clear" w:color="auto" w:fill="auto"/>
            <w:noWrap/>
            <w:vAlign w:val="bottom"/>
            <w:hideMark/>
          </w:tcPr>
          <w:p w14:paraId="3BF1631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3.7%</w:t>
            </w:r>
          </w:p>
        </w:tc>
        <w:tc>
          <w:tcPr>
            <w:tcW w:w="1000" w:type="dxa"/>
            <w:tcBorders>
              <w:top w:val="nil"/>
              <w:left w:val="nil"/>
              <w:bottom w:val="nil"/>
              <w:right w:val="nil"/>
            </w:tcBorders>
            <w:shd w:val="clear" w:color="auto" w:fill="auto"/>
            <w:noWrap/>
            <w:vAlign w:val="bottom"/>
            <w:hideMark/>
          </w:tcPr>
          <w:p w14:paraId="3672F2F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-0.156</w:t>
            </w:r>
          </w:p>
        </w:tc>
        <w:tc>
          <w:tcPr>
            <w:tcW w:w="1280" w:type="dxa"/>
            <w:tcBorders>
              <w:top w:val="nil"/>
              <w:left w:val="nil"/>
              <w:bottom w:val="nil"/>
              <w:right w:val="nil"/>
            </w:tcBorders>
            <w:shd w:val="clear" w:color="000000" w:fill="B4CAFF"/>
            <w:noWrap/>
            <w:vAlign w:val="bottom"/>
            <w:hideMark/>
          </w:tcPr>
          <w:p w14:paraId="72DF2858"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9%</w:t>
            </w:r>
          </w:p>
        </w:tc>
      </w:tr>
      <w:tr w:rsidR="00C05F03" w:rsidRPr="00C05F03" w14:paraId="3DCA4F10"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1F500EED"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Consumer Cyclical</w:t>
            </w:r>
          </w:p>
        </w:tc>
        <w:tc>
          <w:tcPr>
            <w:tcW w:w="1090" w:type="dxa"/>
            <w:tcBorders>
              <w:top w:val="nil"/>
              <w:left w:val="nil"/>
              <w:bottom w:val="nil"/>
              <w:right w:val="nil"/>
            </w:tcBorders>
            <w:shd w:val="clear" w:color="auto" w:fill="auto"/>
            <w:noWrap/>
            <w:vAlign w:val="bottom"/>
            <w:hideMark/>
          </w:tcPr>
          <w:p w14:paraId="5D59528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5.0%</w:t>
            </w:r>
          </w:p>
        </w:tc>
        <w:tc>
          <w:tcPr>
            <w:tcW w:w="910" w:type="dxa"/>
            <w:tcBorders>
              <w:top w:val="nil"/>
              <w:left w:val="nil"/>
              <w:bottom w:val="nil"/>
              <w:right w:val="nil"/>
            </w:tcBorders>
            <w:shd w:val="clear" w:color="auto" w:fill="auto"/>
            <w:noWrap/>
            <w:vAlign w:val="bottom"/>
            <w:hideMark/>
          </w:tcPr>
          <w:p w14:paraId="46BF898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0.9%</w:t>
            </w:r>
          </w:p>
        </w:tc>
        <w:tc>
          <w:tcPr>
            <w:tcW w:w="1000" w:type="dxa"/>
            <w:tcBorders>
              <w:top w:val="nil"/>
              <w:left w:val="nil"/>
              <w:bottom w:val="nil"/>
              <w:right w:val="nil"/>
            </w:tcBorders>
            <w:shd w:val="clear" w:color="auto" w:fill="auto"/>
            <w:noWrap/>
            <w:vAlign w:val="bottom"/>
            <w:hideMark/>
          </w:tcPr>
          <w:p w14:paraId="3D0C491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-0.237</w:t>
            </w:r>
          </w:p>
        </w:tc>
        <w:tc>
          <w:tcPr>
            <w:tcW w:w="1280" w:type="dxa"/>
            <w:tcBorders>
              <w:top w:val="nil"/>
              <w:left w:val="nil"/>
              <w:bottom w:val="nil"/>
              <w:right w:val="nil"/>
            </w:tcBorders>
            <w:shd w:val="clear" w:color="000000" w:fill="C8D8FF"/>
            <w:noWrap/>
            <w:vAlign w:val="bottom"/>
            <w:hideMark/>
          </w:tcPr>
          <w:p w14:paraId="1B5C44DB"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7%</w:t>
            </w:r>
          </w:p>
        </w:tc>
      </w:tr>
      <w:tr w:rsidR="00C05F03" w:rsidRPr="00C05F03" w14:paraId="2A6B9789"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1547F9EC"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Energy</w:t>
            </w:r>
          </w:p>
        </w:tc>
        <w:tc>
          <w:tcPr>
            <w:tcW w:w="1090" w:type="dxa"/>
            <w:tcBorders>
              <w:top w:val="nil"/>
              <w:left w:val="nil"/>
              <w:bottom w:val="nil"/>
              <w:right w:val="nil"/>
            </w:tcBorders>
            <w:shd w:val="clear" w:color="auto" w:fill="auto"/>
            <w:noWrap/>
            <w:vAlign w:val="bottom"/>
            <w:hideMark/>
          </w:tcPr>
          <w:p w14:paraId="054B95CD"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5.6%</w:t>
            </w:r>
          </w:p>
        </w:tc>
        <w:tc>
          <w:tcPr>
            <w:tcW w:w="910" w:type="dxa"/>
            <w:tcBorders>
              <w:top w:val="nil"/>
              <w:left w:val="nil"/>
              <w:bottom w:val="nil"/>
              <w:right w:val="nil"/>
            </w:tcBorders>
            <w:shd w:val="clear" w:color="auto" w:fill="auto"/>
            <w:noWrap/>
            <w:vAlign w:val="bottom"/>
            <w:hideMark/>
          </w:tcPr>
          <w:p w14:paraId="3FBE7C6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8.0%</w:t>
            </w:r>
          </w:p>
        </w:tc>
        <w:tc>
          <w:tcPr>
            <w:tcW w:w="1000" w:type="dxa"/>
            <w:tcBorders>
              <w:top w:val="nil"/>
              <w:left w:val="nil"/>
              <w:bottom w:val="nil"/>
              <w:right w:val="nil"/>
            </w:tcBorders>
            <w:shd w:val="clear" w:color="auto" w:fill="auto"/>
            <w:noWrap/>
            <w:vAlign w:val="bottom"/>
            <w:hideMark/>
          </w:tcPr>
          <w:p w14:paraId="09B6D489"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-0.326</w:t>
            </w:r>
          </w:p>
        </w:tc>
        <w:tc>
          <w:tcPr>
            <w:tcW w:w="1280" w:type="dxa"/>
            <w:tcBorders>
              <w:top w:val="nil"/>
              <w:left w:val="nil"/>
              <w:bottom w:val="nil"/>
              <w:right w:val="nil"/>
            </w:tcBorders>
            <w:shd w:val="clear" w:color="000000" w:fill="D4E1FF"/>
            <w:noWrap/>
            <w:vAlign w:val="bottom"/>
            <w:hideMark/>
          </w:tcPr>
          <w:p w14:paraId="460434D5"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6%</w:t>
            </w:r>
          </w:p>
        </w:tc>
      </w:tr>
      <w:tr w:rsidR="00C05F03" w:rsidRPr="00C05F03" w14:paraId="60173A8A"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CA13988"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Consumer Defensive</w:t>
            </w:r>
          </w:p>
        </w:tc>
        <w:tc>
          <w:tcPr>
            <w:tcW w:w="1090" w:type="dxa"/>
            <w:tcBorders>
              <w:top w:val="nil"/>
              <w:left w:val="nil"/>
              <w:bottom w:val="nil"/>
              <w:right w:val="nil"/>
            </w:tcBorders>
            <w:shd w:val="clear" w:color="auto" w:fill="auto"/>
            <w:noWrap/>
            <w:vAlign w:val="bottom"/>
            <w:hideMark/>
          </w:tcPr>
          <w:p w14:paraId="502923A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4.2%</w:t>
            </w:r>
          </w:p>
        </w:tc>
        <w:tc>
          <w:tcPr>
            <w:tcW w:w="910" w:type="dxa"/>
            <w:tcBorders>
              <w:top w:val="nil"/>
              <w:left w:val="nil"/>
              <w:bottom w:val="nil"/>
              <w:right w:val="nil"/>
            </w:tcBorders>
            <w:shd w:val="clear" w:color="auto" w:fill="auto"/>
            <w:noWrap/>
            <w:vAlign w:val="bottom"/>
            <w:hideMark/>
          </w:tcPr>
          <w:p w14:paraId="554959E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2.8%</w:t>
            </w:r>
          </w:p>
        </w:tc>
        <w:tc>
          <w:tcPr>
            <w:tcW w:w="1000" w:type="dxa"/>
            <w:tcBorders>
              <w:top w:val="nil"/>
              <w:left w:val="nil"/>
              <w:bottom w:val="nil"/>
              <w:right w:val="nil"/>
            </w:tcBorders>
            <w:shd w:val="clear" w:color="auto" w:fill="auto"/>
            <w:noWrap/>
            <w:vAlign w:val="bottom"/>
            <w:hideMark/>
          </w:tcPr>
          <w:p w14:paraId="7A0B523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-0.111</w:t>
            </w:r>
          </w:p>
        </w:tc>
        <w:tc>
          <w:tcPr>
            <w:tcW w:w="1280" w:type="dxa"/>
            <w:tcBorders>
              <w:top w:val="nil"/>
              <w:left w:val="nil"/>
              <w:bottom w:val="nil"/>
              <w:right w:val="nil"/>
            </w:tcBorders>
            <w:shd w:val="clear" w:color="000000" w:fill="D6E2FF"/>
            <w:noWrap/>
            <w:vAlign w:val="bottom"/>
            <w:hideMark/>
          </w:tcPr>
          <w:p w14:paraId="1F5D79D2"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6%</w:t>
            </w:r>
          </w:p>
        </w:tc>
      </w:tr>
      <w:tr w:rsidR="00C05F03" w:rsidRPr="00C05F03" w14:paraId="75B700B8"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62DA462"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Real Estate</w:t>
            </w:r>
          </w:p>
        </w:tc>
        <w:tc>
          <w:tcPr>
            <w:tcW w:w="1090" w:type="dxa"/>
            <w:tcBorders>
              <w:top w:val="nil"/>
              <w:left w:val="nil"/>
              <w:bottom w:val="nil"/>
              <w:right w:val="nil"/>
            </w:tcBorders>
            <w:shd w:val="clear" w:color="auto" w:fill="auto"/>
            <w:noWrap/>
            <w:vAlign w:val="bottom"/>
            <w:hideMark/>
          </w:tcPr>
          <w:p w14:paraId="50084527"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6.2%</w:t>
            </w:r>
          </w:p>
        </w:tc>
        <w:tc>
          <w:tcPr>
            <w:tcW w:w="910" w:type="dxa"/>
            <w:tcBorders>
              <w:top w:val="nil"/>
              <w:left w:val="nil"/>
              <w:bottom w:val="nil"/>
              <w:right w:val="nil"/>
            </w:tcBorders>
            <w:shd w:val="clear" w:color="auto" w:fill="auto"/>
            <w:noWrap/>
            <w:vAlign w:val="bottom"/>
            <w:hideMark/>
          </w:tcPr>
          <w:p w14:paraId="6851C541"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3.7%</w:t>
            </w:r>
          </w:p>
        </w:tc>
        <w:tc>
          <w:tcPr>
            <w:tcW w:w="1000" w:type="dxa"/>
            <w:tcBorders>
              <w:top w:val="nil"/>
              <w:left w:val="nil"/>
              <w:bottom w:val="nil"/>
              <w:right w:val="nil"/>
            </w:tcBorders>
            <w:shd w:val="clear" w:color="auto" w:fill="auto"/>
            <w:noWrap/>
            <w:vAlign w:val="bottom"/>
            <w:hideMark/>
          </w:tcPr>
          <w:p w14:paraId="2409318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-0.216</w:t>
            </w:r>
          </w:p>
        </w:tc>
        <w:tc>
          <w:tcPr>
            <w:tcW w:w="1280" w:type="dxa"/>
            <w:tcBorders>
              <w:top w:val="nil"/>
              <w:left w:val="nil"/>
              <w:bottom w:val="nil"/>
              <w:right w:val="nil"/>
            </w:tcBorders>
            <w:shd w:val="clear" w:color="000000" w:fill="DEE8FF"/>
            <w:noWrap/>
            <w:vAlign w:val="bottom"/>
            <w:hideMark/>
          </w:tcPr>
          <w:p w14:paraId="0FBD8C2B"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5%</w:t>
            </w:r>
          </w:p>
        </w:tc>
      </w:tr>
      <w:tr w:rsidR="00C05F03" w:rsidRPr="00C05F03" w14:paraId="78CC8A48"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08A38E67"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Communication Services</w:t>
            </w:r>
          </w:p>
        </w:tc>
        <w:tc>
          <w:tcPr>
            <w:tcW w:w="1090" w:type="dxa"/>
            <w:tcBorders>
              <w:top w:val="nil"/>
              <w:left w:val="nil"/>
              <w:bottom w:val="nil"/>
              <w:right w:val="nil"/>
            </w:tcBorders>
            <w:shd w:val="clear" w:color="auto" w:fill="auto"/>
            <w:noWrap/>
            <w:vAlign w:val="bottom"/>
            <w:hideMark/>
          </w:tcPr>
          <w:p w14:paraId="059ACD21"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3.1%</w:t>
            </w:r>
          </w:p>
        </w:tc>
        <w:tc>
          <w:tcPr>
            <w:tcW w:w="910" w:type="dxa"/>
            <w:tcBorders>
              <w:top w:val="nil"/>
              <w:left w:val="nil"/>
              <w:bottom w:val="nil"/>
              <w:right w:val="nil"/>
            </w:tcBorders>
            <w:shd w:val="clear" w:color="auto" w:fill="auto"/>
            <w:noWrap/>
            <w:vAlign w:val="bottom"/>
            <w:hideMark/>
          </w:tcPr>
          <w:p w14:paraId="1EBC17F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1.3%</w:t>
            </w:r>
          </w:p>
        </w:tc>
        <w:tc>
          <w:tcPr>
            <w:tcW w:w="1000" w:type="dxa"/>
            <w:tcBorders>
              <w:top w:val="nil"/>
              <w:left w:val="nil"/>
              <w:bottom w:val="nil"/>
              <w:right w:val="nil"/>
            </w:tcBorders>
            <w:shd w:val="clear" w:color="auto" w:fill="auto"/>
            <w:noWrap/>
            <w:vAlign w:val="bottom"/>
            <w:hideMark/>
          </w:tcPr>
          <w:p w14:paraId="30EF7828"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-0.139</w:t>
            </w:r>
          </w:p>
        </w:tc>
        <w:tc>
          <w:tcPr>
            <w:tcW w:w="1280" w:type="dxa"/>
            <w:tcBorders>
              <w:top w:val="nil"/>
              <w:left w:val="nil"/>
              <w:bottom w:val="nil"/>
              <w:right w:val="nil"/>
            </w:tcBorders>
            <w:shd w:val="clear" w:color="000000" w:fill="F3F6FF"/>
            <w:noWrap/>
            <w:vAlign w:val="bottom"/>
            <w:hideMark/>
          </w:tcPr>
          <w:p w14:paraId="6DE156D1"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3%</w:t>
            </w:r>
          </w:p>
        </w:tc>
      </w:tr>
      <w:tr w:rsidR="00C05F03" w:rsidRPr="00C05F03" w14:paraId="28C179B3"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59E1DDD2"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Utilities</w:t>
            </w:r>
          </w:p>
        </w:tc>
        <w:tc>
          <w:tcPr>
            <w:tcW w:w="1090" w:type="dxa"/>
            <w:tcBorders>
              <w:top w:val="nil"/>
              <w:left w:val="nil"/>
              <w:bottom w:val="nil"/>
              <w:right w:val="nil"/>
            </w:tcBorders>
            <w:shd w:val="clear" w:color="auto" w:fill="auto"/>
            <w:noWrap/>
            <w:vAlign w:val="bottom"/>
            <w:hideMark/>
          </w:tcPr>
          <w:p w14:paraId="4907B04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2.3%</w:t>
            </w:r>
          </w:p>
        </w:tc>
        <w:tc>
          <w:tcPr>
            <w:tcW w:w="910" w:type="dxa"/>
            <w:tcBorders>
              <w:top w:val="nil"/>
              <w:left w:val="nil"/>
              <w:bottom w:val="nil"/>
              <w:right w:val="nil"/>
            </w:tcBorders>
            <w:shd w:val="clear" w:color="auto" w:fill="auto"/>
            <w:noWrap/>
            <w:vAlign w:val="bottom"/>
            <w:hideMark/>
          </w:tcPr>
          <w:p w14:paraId="4701AE31"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0.5%</w:t>
            </w:r>
          </w:p>
        </w:tc>
        <w:tc>
          <w:tcPr>
            <w:tcW w:w="1000" w:type="dxa"/>
            <w:tcBorders>
              <w:top w:val="nil"/>
              <w:left w:val="nil"/>
              <w:bottom w:val="nil"/>
              <w:right w:val="nil"/>
            </w:tcBorders>
            <w:shd w:val="clear" w:color="auto" w:fill="auto"/>
            <w:noWrap/>
            <w:vAlign w:val="bottom"/>
            <w:hideMark/>
          </w:tcPr>
          <w:p w14:paraId="26845BF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-0.129</w:t>
            </w:r>
          </w:p>
        </w:tc>
        <w:tc>
          <w:tcPr>
            <w:tcW w:w="1280" w:type="dxa"/>
            <w:tcBorders>
              <w:top w:val="nil"/>
              <w:left w:val="nil"/>
              <w:bottom w:val="nil"/>
              <w:right w:val="nil"/>
            </w:tcBorders>
            <w:shd w:val="clear" w:color="000000" w:fill="FCFCFF"/>
            <w:noWrap/>
            <w:vAlign w:val="bottom"/>
            <w:hideMark/>
          </w:tcPr>
          <w:p w14:paraId="3EC8646D"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2%</w:t>
            </w:r>
          </w:p>
        </w:tc>
      </w:tr>
      <w:tr w:rsidR="00C05F03" w:rsidRPr="00C05F03" w14:paraId="6DC2032C"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tcPr>
          <w:p w14:paraId="43EE88CB"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p>
        </w:tc>
        <w:tc>
          <w:tcPr>
            <w:tcW w:w="1090" w:type="dxa"/>
            <w:tcBorders>
              <w:top w:val="nil"/>
              <w:left w:val="nil"/>
              <w:bottom w:val="nil"/>
              <w:right w:val="nil"/>
            </w:tcBorders>
            <w:shd w:val="clear" w:color="auto" w:fill="auto"/>
            <w:noWrap/>
            <w:vAlign w:val="bottom"/>
          </w:tcPr>
          <w:p w14:paraId="3102B6B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p>
        </w:tc>
        <w:tc>
          <w:tcPr>
            <w:tcW w:w="910" w:type="dxa"/>
            <w:tcBorders>
              <w:top w:val="nil"/>
              <w:left w:val="nil"/>
              <w:bottom w:val="nil"/>
              <w:right w:val="nil"/>
            </w:tcBorders>
            <w:shd w:val="clear" w:color="auto" w:fill="auto"/>
            <w:noWrap/>
            <w:vAlign w:val="bottom"/>
          </w:tcPr>
          <w:p w14:paraId="5028D56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p>
        </w:tc>
        <w:tc>
          <w:tcPr>
            <w:tcW w:w="1000" w:type="dxa"/>
            <w:tcBorders>
              <w:top w:val="nil"/>
              <w:left w:val="nil"/>
              <w:bottom w:val="nil"/>
              <w:right w:val="nil"/>
            </w:tcBorders>
            <w:shd w:val="clear" w:color="auto" w:fill="auto"/>
            <w:noWrap/>
            <w:vAlign w:val="bottom"/>
          </w:tcPr>
          <w:p w14:paraId="498F0C4F"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p>
        </w:tc>
        <w:tc>
          <w:tcPr>
            <w:tcW w:w="1280" w:type="dxa"/>
            <w:tcBorders>
              <w:top w:val="nil"/>
              <w:left w:val="nil"/>
              <w:bottom w:val="nil"/>
              <w:right w:val="nil"/>
            </w:tcBorders>
            <w:shd w:val="clear" w:color="000000" w:fill="FCFCFF"/>
            <w:noWrap/>
            <w:vAlign w:val="bottom"/>
          </w:tcPr>
          <w:p w14:paraId="0FD80845"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p>
        </w:tc>
      </w:tr>
    </w:tbl>
    <w:p w14:paraId="2A3E5163" w14:textId="1F87A00D" w:rsidR="008F41FA" w:rsidRDefault="007A189A" w:rsidP="00426040">
      <w:pPr>
        <w:rPr>
          <w:rFonts w:ascii="SF COMPACT LIGHT" w:hAnsi="SF COMPACT LIGHT"/>
          <w:i w:val="0"/>
          <w:iCs w:val="0"/>
          <w:sz w:val="24"/>
          <w:szCs w:val="24"/>
        </w:rPr>
      </w:pPr>
      <w:r>
        <w:rPr>
          <w:rFonts w:ascii="SF COMPACT LIGHT" w:hAnsi="SF COMPACT LIGHT"/>
          <w:i w:val="0"/>
          <w:iCs w:val="0"/>
          <w:sz w:val="24"/>
          <w:szCs w:val="24"/>
        </w:rPr>
        <w:lastRenderedPageBreak/>
        <w:t xml:space="preserve">Here are links to overall </w:t>
      </w:r>
      <w:r w:rsidR="00940CB4">
        <w:rPr>
          <w:rFonts w:ascii="SF COMPACT LIGHT" w:hAnsi="SF COMPACT LIGHT"/>
          <w:i w:val="0"/>
          <w:iCs w:val="0"/>
          <w:sz w:val="24"/>
          <w:szCs w:val="24"/>
        </w:rPr>
        <w:t>fund</w:t>
      </w:r>
      <w:r>
        <w:rPr>
          <w:rFonts w:ascii="SF COMPACT LIGHT" w:hAnsi="SF COMPACT LIGHT"/>
          <w:i w:val="0"/>
          <w:iCs w:val="0"/>
          <w:sz w:val="24"/>
          <w:szCs w:val="24"/>
        </w:rPr>
        <w:t xml:space="preserve"> data:</w:t>
      </w:r>
    </w:p>
    <w:p w14:paraId="586A7A34" w14:textId="76FD88F8" w:rsidR="007A189A" w:rsidRDefault="007A189A" w:rsidP="00426040">
      <w:pPr>
        <w:rPr>
          <w:rFonts w:ascii="SF COMPACT LIGHT" w:hAnsi="SF COMPACT LIGHT"/>
          <w:i w:val="0"/>
          <w:iCs w:val="0"/>
          <w:sz w:val="24"/>
          <w:szCs w:val="24"/>
        </w:rPr>
      </w:pPr>
      <w:r w:rsidRPr="00940CB4">
        <w:rPr>
          <w:rFonts w:ascii="SF COMPACT" w:hAnsi="SF COMPACT"/>
          <w:i w:val="0"/>
          <w:iCs w:val="0"/>
          <w:sz w:val="24"/>
          <w:szCs w:val="24"/>
        </w:rPr>
        <w:t>Full Portfolio</w:t>
      </w:r>
      <w:r w:rsidR="00940CB4" w:rsidRPr="00940CB4">
        <w:rPr>
          <w:rFonts w:ascii="SF COMPACT" w:hAnsi="SF COMPACT"/>
          <w:i w:val="0"/>
          <w:iCs w:val="0"/>
          <w:sz w:val="24"/>
          <w:szCs w:val="24"/>
        </w:rPr>
        <w:t xml:space="preserve"> Weights</w:t>
      </w:r>
      <w:r>
        <w:rPr>
          <w:rFonts w:ascii="SF COMPACT LIGHT" w:hAnsi="SF COMPACT LIGHT"/>
          <w:i w:val="0"/>
          <w:iCs w:val="0"/>
          <w:sz w:val="24"/>
          <w:szCs w:val="24"/>
        </w:rPr>
        <w:t xml:space="preserve">: </w:t>
      </w:r>
      <w:hyperlink r:id="rId9" w:history="1">
        <w:r w:rsidRPr="00D932EC">
          <w:rPr>
            <w:rStyle w:val="Hyperlink"/>
            <w:rFonts w:ascii="SF COMPACT LIGHT" w:hAnsi="SF COMPACT LIGHT"/>
            <w:i w:val="0"/>
            <w:iCs w:val="0"/>
            <w:sz w:val="24"/>
            <w:szCs w:val="24"/>
          </w:rPr>
          <w:t>https://jhkersting.github</w:t>
        </w:r>
        <w:r w:rsidRPr="00D932EC">
          <w:rPr>
            <w:rStyle w:val="Hyperlink"/>
            <w:rFonts w:ascii="SF COMPACT LIGHT" w:hAnsi="SF COMPACT LIGHT"/>
            <w:i w:val="0"/>
            <w:iCs w:val="0"/>
            <w:sz w:val="24"/>
            <w:szCs w:val="24"/>
          </w:rPr>
          <w:t>.</w:t>
        </w:r>
        <w:r w:rsidRPr="00D932EC">
          <w:rPr>
            <w:rStyle w:val="Hyperlink"/>
            <w:rFonts w:ascii="SF COMPACT LIGHT" w:hAnsi="SF COMPACT LIGHT"/>
            <w:i w:val="0"/>
            <w:iCs w:val="0"/>
            <w:sz w:val="24"/>
            <w:szCs w:val="24"/>
          </w:rPr>
          <w:t>io/halb-fund/yearly-portfolio-weights.csv</w:t>
        </w:r>
      </w:hyperlink>
    </w:p>
    <w:p w14:paraId="3BB9F433" w14:textId="3D6C5436" w:rsidR="007A189A" w:rsidRDefault="00940CB4" w:rsidP="00426040">
      <w:pPr>
        <w:rPr>
          <w:rFonts w:ascii="SF COMPACT LIGHT" w:hAnsi="SF COMPACT LIGHT"/>
          <w:i w:val="0"/>
          <w:iCs w:val="0"/>
          <w:sz w:val="24"/>
          <w:szCs w:val="24"/>
        </w:rPr>
      </w:pPr>
      <w:r w:rsidRPr="00940CB4">
        <w:rPr>
          <w:rFonts w:ascii="SF COMPACT" w:hAnsi="SF COMPACT"/>
          <w:i w:val="0"/>
          <w:iCs w:val="0"/>
          <w:sz w:val="24"/>
          <w:szCs w:val="24"/>
        </w:rPr>
        <w:t>Daily Portfolio Returns</w:t>
      </w:r>
      <w:r>
        <w:rPr>
          <w:rFonts w:ascii="SF COMPACT LIGHT" w:hAnsi="SF COMPACT LIGHT"/>
          <w:i w:val="0"/>
          <w:iCs w:val="0"/>
          <w:sz w:val="24"/>
          <w:szCs w:val="24"/>
        </w:rPr>
        <w:t xml:space="preserve">: </w:t>
      </w:r>
      <w:hyperlink r:id="rId10" w:history="1">
        <w:r w:rsidRPr="00D932EC">
          <w:rPr>
            <w:rStyle w:val="Hyperlink"/>
            <w:rFonts w:ascii="SF COMPACT LIGHT" w:hAnsi="SF COMPACT LIGHT"/>
            <w:i w:val="0"/>
            <w:iCs w:val="0"/>
            <w:sz w:val="24"/>
            <w:szCs w:val="24"/>
          </w:rPr>
          <w:t>https://jhkersting.github.io/halb-fund/</w:t>
        </w:r>
        <w:r w:rsidRPr="00D932EC">
          <w:rPr>
            <w:rStyle w:val="Hyperlink"/>
            <w:rFonts w:ascii="SF COMPACT LIGHT" w:hAnsi="SF COMPACT LIGHT"/>
            <w:i w:val="0"/>
            <w:iCs w:val="0"/>
            <w:sz w:val="24"/>
            <w:szCs w:val="24"/>
          </w:rPr>
          <w:t>final/</w:t>
        </w:r>
        <w:r w:rsidRPr="00D932EC">
          <w:rPr>
            <w:rStyle w:val="Hyperlink"/>
            <w:rFonts w:ascii="SF COMPACT LIGHT" w:hAnsi="SF COMPACT LIGHT"/>
            <w:i w:val="0"/>
            <w:iCs w:val="0"/>
            <w:sz w:val="24"/>
            <w:szCs w:val="24"/>
          </w:rPr>
          <w:t>d</w:t>
        </w:r>
        <w:r w:rsidRPr="00D932EC">
          <w:rPr>
            <w:rStyle w:val="Hyperlink"/>
            <w:rFonts w:ascii="SF COMPACT LIGHT" w:hAnsi="SF COMPACT LIGHT"/>
            <w:i w:val="0"/>
            <w:iCs w:val="0"/>
            <w:sz w:val="24"/>
            <w:szCs w:val="24"/>
          </w:rPr>
          <w:t>aily-portfolio-returns.csv</w:t>
        </w:r>
      </w:hyperlink>
    </w:p>
    <w:p w14:paraId="4C3F89D2" w14:textId="164105FB" w:rsidR="00940CB4" w:rsidRDefault="00940CB4" w:rsidP="00426040">
      <w:pPr>
        <w:rPr>
          <w:rFonts w:ascii="SF COMPACT LIGHT" w:hAnsi="SF COMPACT LIGHT"/>
          <w:i w:val="0"/>
          <w:iCs w:val="0"/>
          <w:sz w:val="24"/>
          <w:szCs w:val="24"/>
        </w:rPr>
      </w:pPr>
      <w:r w:rsidRPr="00940CB4">
        <w:rPr>
          <w:rFonts w:ascii="SF COMPACT" w:hAnsi="SF COMPACT"/>
          <w:i w:val="0"/>
          <w:iCs w:val="0"/>
          <w:sz w:val="24"/>
          <w:szCs w:val="24"/>
        </w:rPr>
        <w:t>Year Portfolio</w:t>
      </w:r>
      <w:r>
        <w:rPr>
          <w:rFonts w:ascii="SF COMPACT LIGHT" w:hAnsi="SF COMPACT LIGHT"/>
          <w:i w:val="0"/>
          <w:iCs w:val="0"/>
          <w:sz w:val="24"/>
          <w:szCs w:val="24"/>
        </w:rPr>
        <w:t>:</w:t>
      </w:r>
      <w:r w:rsidRPr="00940CB4">
        <w:t xml:space="preserve"> </w:t>
      </w:r>
      <w:hyperlink r:id="rId11" w:history="1">
        <w:r w:rsidRPr="00D932EC">
          <w:rPr>
            <w:rStyle w:val="Hyperlink"/>
            <w:rFonts w:ascii="SF COMPACT LIGHT" w:hAnsi="SF COMPACT LIGHT"/>
            <w:i w:val="0"/>
            <w:iCs w:val="0"/>
            <w:sz w:val="24"/>
            <w:szCs w:val="24"/>
          </w:rPr>
          <w:t>https://jhkersting.github.io/halb-fund/</w:t>
        </w:r>
        <w:r w:rsidRPr="00D932EC">
          <w:rPr>
            <w:rStyle w:val="Hyperlink"/>
            <w:rFonts w:ascii="SF COMPACT LIGHT" w:hAnsi="SF COMPACT LIGHT"/>
            <w:i w:val="0"/>
            <w:iCs w:val="0"/>
            <w:sz w:val="24"/>
            <w:szCs w:val="24"/>
          </w:rPr>
          <w:t>final/2001/mkt-rf-alp</w:t>
        </w:r>
        <w:r w:rsidRPr="00D932EC">
          <w:rPr>
            <w:rStyle w:val="Hyperlink"/>
            <w:rFonts w:ascii="SF COMPACT LIGHT" w:hAnsi="SF COMPACT LIGHT"/>
            <w:i w:val="0"/>
            <w:iCs w:val="0"/>
            <w:sz w:val="24"/>
            <w:szCs w:val="24"/>
          </w:rPr>
          <w:t>h</w:t>
        </w:r>
        <w:r w:rsidRPr="00D932EC">
          <w:rPr>
            <w:rStyle w:val="Hyperlink"/>
            <w:rFonts w:ascii="SF COMPACT LIGHT" w:hAnsi="SF COMPACT LIGHT"/>
            <w:i w:val="0"/>
            <w:iCs w:val="0"/>
            <w:sz w:val="24"/>
            <w:szCs w:val="24"/>
          </w:rPr>
          <w:t>a/portfolio-clean.</w:t>
        </w:r>
        <w:r w:rsidRPr="00D932EC">
          <w:rPr>
            <w:rStyle w:val="Hyperlink"/>
            <w:rFonts w:ascii="SF COMPACT LIGHT" w:hAnsi="SF COMPACT LIGHT"/>
            <w:i w:val="0"/>
            <w:iCs w:val="0"/>
            <w:sz w:val="24"/>
            <w:szCs w:val="24"/>
          </w:rPr>
          <w:t>c</w:t>
        </w:r>
        <w:r w:rsidRPr="00D932EC">
          <w:rPr>
            <w:rStyle w:val="Hyperlink"/>
            <w:rFonts w:ascii="SF COMPACT LIGHT" w:hAnsi="SF COMPACT LIGHT"/>
            <w:i w:val="0"/>
            <w:iCs w:val="0"/>
            <w:sz w:val="24"/>
            <w:szCs w:val="24"/>
          </w:rPr>
          <w:t>sv</w:t>
        </w:r>
      </w:hyperlink>
      <w:r>
        <w:rPr>
          <w:rFonts w:ascii="SF COMPACT LIGHT" w:hAnsi="SF COMPACT LIGHT"/>
          <w:i w:val="0"/>
          <w:iCs w:val="0"/>
          <w:sz w:val="24"/>
          <w:szCs w:val="24"/>
        </w:rPr>
        <w:t xml:space="preserve"> (Replace 2001 with year you want data for)</w:t>
      </w:r>
    </w:p>
    <w:p w14:paraId="747421CE" w14:textId="77777777" w:rsidR="00940CB4" w:rsidRDefault="00940CB4" w:rsidP="00426040">
      <w:pPr>
        <w:rPr>
          <w:rFonts w:ascii="SF COMPACT LIGHT" w:hAnsi="SF COMPACT LIGHT"/>
          <w:i w:val="0"/>
          <w:iCs w:val="0"/>
          <w:sz w:val="24"/>
          <w:szCs w:val="24"/>
        </w:rPr>
      </w:pPr>
    </w:p>
    <w:p w14:paraId="69B686FC" w14:textId="77777777" w:rsidR="00940CB4" w:rsidRPr="008F41FA" w:rsidRDefault="00940CB4" w:rsidP="00426040">
      <w:pPr>
        <w:rPr>
          <w:rFonts w:ascii="SF COMPACT LIGHT" w:hAnsi="SF COMPACT LIGHT"/>
          <w:i w:val="0"/>
          <w:iCs w:val="0"/>
          <w:sz w:val="24"/>
          <w:szCs w:val="24"/>
        </w:rPr>
      </w:pPr>
    </w:p>
    <w:sectPr w:rsidR="00940CB4" w:rsidRPr="008F41FA" w:rsidSect="00432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F4F9" w14:textId="77777777" w:rsidR="00432C2B" w:rsidRDefault="00432C2B" w:rsidP="00E51707">
      <w:pPr>
        <w:spacing w:after="0" w:line="240" w:lineRule="auto"/>
      </w:pPr>
      <w:r>
        <w:separator/>
      </w:r>
    </w:p>
  </w:endnote>
  <w:endnote w:type="continuationSeparator" w:id="0">
    <w:p w14:paraId="63B835A4" w14:textId="77777777" w:rsidR="00432C2B" w:rsidRDefault="00432C2B" w:rsidP="00E5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F COMPACT MEDIUM">
    <w:panose1 w:val="020B0A04030202060204"/>
    <w:charset w:val="4D"/>
    <w:family w:val="swiss"/>
    <w:pitch w:val="variable"/>
    <w:sig w:usb0="00000003" w:usb1="00000000" w:usb2="00000000" w:usb3="00000000" w:csb0="00000003" w:csb1="00000000"/>
  </w:font>
  <w:font w:name="SF COMPACT LIGHT">
    <w:panose1 w:val="020B0A04030202060204"/>
    <w:charset w:val="4D"/>
    <w:family w:val="swiss"/>
    <w:pitch w:val="variable"/>
    <w:sig w:usb0="00000003" w:usb1="00000000" w:usb2="00000000" w:usb3="00000000" w:csb0="00000003" w:csb1="00000000"/>
  </w:font>
  <w:font w:name="JetBrainsMono-Light">
    <w:panose1 w:val="02000009000000000000"/>
    <w:charset w:val="00"/>
    <w:family w:val="modern"/>
    <w:pitch w:val="fixed"/>
    <w:sig w:usb0="A00002FF" w:usb1="1000F8EB" w:usb2="00000008" w:usb3="00000000" w:csb0="0000019F" w:csb1="00000000"/>
  </w:font>
  <w:font w:name="SF COMPACT">
    <w:panose1 w:val="020B0A04030202060204"/>
    <w:charset w:val="4D"/>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51AC" w14:textId="77777777" w:rsidR="00432C2B" w:rsidRDefault="00432C2B" w:rsidP="00E51707">
      <w:pPr>
        <w:spacing w:after="0" w:line="240" w:lineRule="auto"/>
      </w:pPr>
      <w:r>
        <w:separator/>
      </w:r>
    </w:p>
  </w:footnote>
  <w:footnote w:type="continuationSeparator" w:id="0">
    <w:p w14:paraId="73FC38E6" w14:textId="77777777" w:rsidR="00432C2B" w:rsidRDefault="00432C2B" w:rsidP="00E51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07"/>
    <w:rsid w:val="00016082"/>
    <w:rsid w:val="000930AE"/>
    <w:rsid w:val="000C75B0"/>
    <w:rsid w:val="0017305B"/>
    <w:rsid w:val="00224636"/>
    <w:rsid w:val="002E329A"/>
    <w:rsid w:val="00327355"/>
    <w:rsid w:val="00335DC3"/>
    <w:rsid w:val="004214C8"/>
    <w:rsid w:val="00426040"/>
    <w:rsid w:val="00432C2B"/>
    <w:rsid w:val="0046656C"/>
    <w:rsid w:val="00770653"/>
    <w:rsid w:val="007A189A"/>
    <w:rsid w:val="007E4DAB"/>
    <w:rsid w:val="00893824"/>
    <w:rsid w:val="008B3BFD"/>
    <w:rsid w:val="008E57E9"/>
    <w:rsid w:val="008F41FA"/>
    <w:rsid w:val="00916222"/>
    <w:rsid w:val="0093756D"/>
    <w:rsid w:val="00940CB4"/>
    <w:rsid w:val="00A54EE7"/>
    <w:rsid w:val="00A66362"/>
    <w:rsid w:val="00AC0EDD"/>
    <w:rsid w:val="00AD4A24"/>
    <w:rsid w:val="00AF77B2"/>
    <w:rsid w:val="00C05F03"/>
    <w:rsid w:val="00C43F01"/>
    <w:rsid w:val="00C82B43"/>
    <w:rsid w:val="00CD61E9"/>
    <w:rsid w:val="00CE70B1"/>
    <w:rsid w:val="00CF5C67"/>
    <w:rsid w:val="00D51115"/>
    <w:rsid w:val="00D94A21"/>
    <w:rsid w:val="00E04C48"/>
    <w:rsid w:val="00E06EE3"/>
    <w:rsid w:val="00E51707"/>
    <w:rsid w:val="00EB5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BFE3A"/>
  <w15:docId w15:val="{7E1E2DCA-A53E-744C-9028-E9F18FC3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07"/>
    <w:rPr>
      <w:i/>
      <w:iCs/>
      <w:sz w:val="20"/>
      <w:szCs w:val="20"/>
    </w:rPr>
  </w:style>
  <w:style w:type="paragraph" w:styleId="Heading1">
    <w:name w:val="heading 1"/>
    <w:basedOn w:val="Normal"/>
    <w:next w:val="Normal"/>
    <w:link w:val="Heading1Char"/>
    <w:uiPriority w:val="9"/>
    <w:qFormat/>
    <w:rsid w:val="00E51707"/>
    <w:pPr>
      <w:pBdr>
        <w:top w:val="single" w:sz="8" w:space="0" w:color="3773FF" w:themeColor="accent2"/>
        <w:left w:val="single" w:sz="8" w:space="0" w:color="3773FF" w:themeColor="accent2"/>
        <w:bottom w:val="single" w:sz="8" w:space="0" w:color="3773FF" w:themeColor="accent2"/>
        <w:right w:val="single" w:sz="8" w:space="0" w:color="3773FF" w:themeColor="accent2"/>
      </w:pBdr>
      <w:shd w:val="clear" w:color="auto" w:fill="D7E2FF" w:themeFill="accent2" w:themeFillTint="33"/>
      <w:spacing w:before="480" w:after="100" w:line="269" w:lineRule="auto"/>
      <w:contextualSpacing/>
      <w:outlineLvl w:val="0"/>
    </w:pPr>
    <w:rPr>
      <w:rFonts w:asciiTheme="majorHAnsi" w:eastAsiaTheme="majorEastAsia" w:hAnsiTheme="majorHAnsi" w:cstheme="majorBidi"/>
      <w:b/>
      <w:bCs/>
      <w:color w:val="002D9A" w:themeColor="accent2" w:themeShade="7F"/>
      <w:sz w:val="22"/>
      <w:szCs w:val="22"/>
    </w:rPr>
  </w:style>
  <w:style w:type="paragraph" w:styleId="Heading2">
    <w:name w:val="heading 2"/>
    <w:basedOn w:val="Normal"/>
    <w:next w:val="Normal"/>
    <w:link w:val="Heading2Char"/>
    <w:uiPriority w:val="9"/>
    <w:semiHidden/>
    <w:unhideWhenUsed/>
    <w:qFormat/>
    <w:rsid w:val="00E51707"/>
    <w:pPr>
      <w:pBdr>
        <w:top w:val="single" w:sz="4" w:space="0" w:color="3773FF" w:themeColor="accent2"/>
        <w:left w:val="single" w:sz="48" w:space="2" w:color="3773FF" w:themeColor="accent2"/>
        <w:bottom w:val="single" w:sz="4" w:space="0" w:color="3773FF" w:themeColor="accent2"/>
        <w:right w:val="single" w:sz="4" w:space="4" w:color="3773FF" w:themeColor="accent2"/>
      </w:pBdr>
      <w:spacing w:before="200" w:after="100" w:line="269" w:lineRule="auto"/>
      <w:ind w:left="144"/>
      <w:contextualSpacing/>
      <w:outlineLvl w:val="1"/>
    </w:pPr>
    <w:rPr>
      <w:rFonts w:asciiTheme="majorHAnsi" w:eastAsiaTheme="majorEastAsia" w:hAnsiTheme="majorHAnsi" w:cstheme="majorBidi"/>
      <w:b/>
      <w:bCs/>
      <w:color w:val="0045E8" w:themeColor="accent2" w:themeShade="BF"/>
      <w:sz w:val="22"/>
      <w:szCs w:val="22"/>
    </w:rPr>
  </w:style>
  <w:style w:type="paragraph" w:styleId="Heading3">
    <w:name w:val="heading 3"/>
    <w:basedOn w:val="Normal"/>
    <w:next w:val="Normal"/>
    <w:link w:val="Heading3Char"/>
    <w:uiPriority w:val="9"/>
    <w:semiHidden/>
    <w:unhideWhenUsed/>
    <w:qFormat/>
    <w:rsid w:val="00E51707"/>
    <w:pPr>
      <w:pBdr>
        <w:left w:val="single" w:sz="48" w:space="2" w:color="3773FF" w:themeColor="accent2"/>
        <w:bottom w:val="single" w:sz="4" w:space="0" w:color="3773FF" w:themeColor="accent2"/>
      </w:pBdr>
      <w:spacing w:before="200" w:after="100" w:line="240" w:lineRule="auto"/>
      <w:ind w:left="144"/>
      <w:contextualSpacing/>
      <w:outlineLvl w:val="2"/>
    </w:pPr>
    <w:rPr>
      <w:rFonts w:asciiTheme="majorHAnsi" w:eastAsiaTheme="majorEastAsia" w:hAnsiTheme="majorHAnsi" w:cstheme="majorBidi"/>
      <w:b/>
      <w:bCs/>
      <w:color w:val="0045E8" w:themeColor="accent2" w:themeShade="BF"/>
      <w:sz w:val="22"/>
      <w:szCs w:val="22"/>
    </w:rPr>
  </w:style>
  <w:style w:type="paragraph" w:styleId="Heading4">
    <w:name w:val="heading 4"/>
    <w:basedOn w:val="Normal"/>
    <w:next w:val="Normal"/>
    <w:link w:val="Heading4Char"/>
    <w:uiPriority w:val="9"/>
    <w:semiHidden/>
    <w:unhideWhenUsed/>
    <w:qFormat/>
    <w:rsid w:val="00E51707"/>
    <w:pPr>
      <w:pBdr>
        <w:left w:val="single" w:sz="4" w:space="2" w:color="3773FF" w:themeColor="accent2"/>
        <w:bottom w:val="single" w:sz="4" w:space="2" w:color="3773FF" w:themeColor="accent2"/>
      </w:pBdr>
      <w:spacing w:before="200" w:after="100" w:line="240" w:lineRule="auto"/>
      <w:ind w:left="86"/>
      <w:contextualSpacing/>
      <w:outlineLvl w:val="3"/>
    </w:pPr>
    <w:rPr>
      <w:rFonts w:asciiTheme="majorHAnsi" w:eastAsiaTheme="majorEastAsia" w:hAnsiTheme="majorHAnsi" w:cstheme="majorBidi"/>
      <w:b/>
      <w:bCs/>
      <w:color w:val="0045E8" w:themeColor="accent2" w:themeShade="BF"/>
      <w:sz w:val="22"/>
      <w:szCs w:val="22"/>
    </w:rPr>
  </w:style>
  <w:style w:type="paragraph" w:styleId="Heading5">
    <w:name w:val="heading 5"/>
    <w:basedOn w:val="Normal"/>
    <w:next w:val="Normal"/>
    <w:link w:val="Heading5Char"/>
    <w:uiPriority w:val="9"/>
    <w:semiHidden/>
    <w:unhideWhenUsed/>
    <w:qFormat/>
    <w:rsid w:val="00E51707"/>
    <w:pPr>
      <w:pBdr>
        <w:left w:val="dotted" w:sz="4" w:space="2" w:color="3773FF" w:themeColor="accent2"/>
        <w:bottom w:val="dotted" w:sz="4" w:space="2" w:color="3773FF" w:themeColor="accent2"/>
      </w:pBdr>
      <w:spacing w:before="200" w:after="100" w:line="240" w:lineRule="auto"/>
      <w:ind w:left="86"/>
      <w:contextualSpacing/>
      <w:outlineLvl w:val="4"/>
    </w:pPr>
    <w:rPr>
      <w:rFonts w:asciiTheme="majorHAnsi" w:eastAsiaTheme="majorEastAsia" w:hAnsiTheme="majorHAnsi" w:cstheme="majorBidi"/>
      <w:b/>
      <w:bCs/>
      <w:color w:val="0045E8" w:themeColor="accent2" w:themeShade="BF"/>
      <w:sz w:val="22"/>
      <w:szCs w:val="22"/>
    </w:rPr>
  </w:style>
  <w:style w:type="paragraph" w:styleId="Heading6">
    <w:name w:val="heading 6"/>
    <w:basedOn w:val="Normal"/>
    <w:next w:val="Normal"/>
    <w:link w:val="Heading6Char"/>
    <w:uiPriority w:val="9"/>
    <w:semiHidden/>
    <w:unhideWhenUsed/>
    <w:qFormat/>
    <w:rsid w:val="00E51707"/>
    <w:pPr>
      <w:pBdr>
        <w:bottom w:val="single" w:sz="4" w:space="2" w:color="AFC6FF" w:themeColor="accent2" w:themeTint="66"/>
      </w:pBdr>
      <w:spacing w:before="200" w:after="100" w:line="240" w:lineRule="auto"/>
      <w:contextualSpacing/>
      <w:outlineLvl w:val="5"/>
    </w:pPr>
    <w:rPr>
      <w:rFonts w:asciiTheme="majorHAnsi" w:eastAsiaTheme="majorEastAsia" w:hAnsiTheme="majorHAnsi" w:cstheme="majorBidi"/>
      <w:color w:val="0045E8" w:themeColor="accent2" w:themeShade="BF"/>
      <w:sz w:val="22"/>
      <w:szCs w:val="22"/>
    </w:rPr>
  </w:style>
  <w:style w:type="paragraph" w:styleId="Heading7">
    <w:name w:val="heading 7"/>
    <w:basedOn w:val="Normal"/>
    <w:next w:val="Normal"/>
    <w:link w:val="Heading7Char"/>
    <w:uiPriority w:val="9"/>
    <w:semiHidden/>
    <w:unhideWhenUsed/>
    <w:qFormat/>
    <w:rsid w:val="00E51707"/>
    <w:pPr>
      <w:pBdr>
        <w:bottom w:val="dotted" w:sz="4" w:space="2" w:color="87AAFF" w:themeColor="accent2" w:themeTint="99"/>
      </w:pBdr>
      <w:spacing w:before="200" w:after="100" w:line="240" w:lineRule="auto"/>
      <w:contextualSpacing/>
      <w:outlineLvl w:val="6"/>
    </w:pPr>
    <w:rPr>
      <w:rFonts w:asciiTheme="majorHAnsi" w:eastAsiaTheme="majorEastAsia" w:hAnsiTheme="majorHAnsi" w:cstheme="majorBidi"/>
      <w:color w:val="0045E8" w:themeColor="accent2" w:themeShade="BF"/>
      <w:sz w:val="22"/>
      <w:szCs w:val="22"/>
    </w:rPr>
  </w:style>
  <w:style w:type="paragraph" w:styleId="Heading8">
    <w:name w:val="heading 8"/>
    <w:basedOn w:val="Normal"/>
    <w:next w:val="Normal"/>
    <w:link w:val="Heading8Char"/>
    <w:uiPriority w:val="9"/>
    <w:semiHidden/>
    <w:unhideWhenUsed/>
    <w:qFormat/>
    <w:rsid w:val="00E51707"/>
    <w:pPr>
      <w:spacing w:before="200" w:after="100" w:line="240" w:lineRule="auto"/>
      <w:contextualSpacing/>
      <w:outlineLvl w:val="7"/>
    </w:pPr>
    <w:rPr>
      <w:rFonts w:asciiTheme="majorHAnsi" w:eastAsiaTheme="majorEastAsia" w:hAnsiTheme="majorHAnsi" w:cstheme="majorBidi"/>
      <w:color w:val="3773FF" w:themeColor="accent2"/>
      <w:sz w:val="22"/>
      <w:szCs w:val="22"/>
    </w:rPr>
  </w:style>
  <w:style w:type="paragraph" w:styleId="Heading9">
    <w:name w:val="heading 9"/>
    <w:basedOn w:val="Normal"/>
    <w:next w:val="Normal"/>
    <w:link w:val="Heading9Char"/>
    <w:uiPriority w:val="9"/>
    <w:semiHidden/>
    <w:unhideWhenUsed/>
    <w:qFormat/>
    <w:rsid w:val="00E51707"/>
    <w:pPr>
      <w:spacing w:before="200" w:after="100" w:line="240" w:lineRule="auto"/>
      <w:contextualSpacing/>
      <w:outlineLvl w:val="8"/>
    </w:pPr>
    <w:rPr>
      <w:rFonts w:asciiTheme="majorHAnsi" w:eastAsiaTheme="majorEastAsia" w:hAnsiTheme="majorHAnsi" w:cstheme="majorBidi"/>
      <w:color w:val="3773F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07"/>
    <w:rPr>
      <w:rFonts w:asciiTheme="majorHAnsi" w:eastAsiaTheme="majorEastAsia" w:hAnsiTheme="majorHAnsi" w:cstheme="majorBidi"/>
      <w:b/>
      <w:bCs/>
      <w:i/>
      <w:iCs/>
      <w:color w:val="002D9A" w:themeColor="accent2" w:themeShade="7F"/>
      <w:shd w:val="clear" w:color="auto" w:fill="D7E2FF" w:themeFill="accent2" w:themeFillTint="33"/>
    </w:rPr>
  </w:style>
  <w:style w:type="character" w:customStyle="1" w:styleId="Heading2Char">
    <w:name w:val="Heading 2 Char"/>
    <w:basedOn w:val="DefaultParagraphFont"/>
    <w:link w:val="Heading2"/>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3Char">
    <w:name w:val="Heading 3 Char"/>
    <w:basedOn w:val="DefaultParagraphFont"/>
    <w:link w:val="Heading3"/>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4Char">
    <w:name w:val="Heading 4 Char"/>
    <w:basedOn w:val="DefaultParagraphFont"/>
    <w:link w:val="Heading4"/>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5Char">
    <w:name w:val="Heading 5 Char"/>
    <w:basedOn w:val="DefaultParagraphFont"/>
    <w:link w:val="Heading5"/>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6Char">
    <w:name w:val="Heading 6 Char"/>
    <w:basedOn w:val="DefaultParagraphFont"/>
    <w:link w:val="Heading6"/>
    <w:uiPriority w:val="9"/>
    <w:semiHidden/>
    <w:rsid w:val="00E51707"/>
    <w:rPr>
      <w:rFonts w:asciiTheme="majorHAnsi" w:eastAsiaTheme="majorEastAsia" w:hAnsiTheme="majorHAnsi" w:cstheme="majorBidi"/>
      <w:i/>
      <w:iCs/>
      <w:color w:val="0045E8" w:themeColor="accent2" w:themeShade="BF"/>
    </w:rPr>
  </w:style>
  <w:style w:type="character" w:customStyle="1" w:styleId="Heading7Char">
    <w:name w:val="Heading 7 Char"/>
    <w:basedOn w:val="DefaultParagraphFont"/>
    <w:link w:val="Heading7"/>
    <w:uiPriority w:val="9"/>
    <w:semiHidden/>
    <w:rsid w:val="00E51707"/>
    <w:rPr>
      <w:rFonts w:asciiTheme="majorHAnsi" w:eastAsiaTheme="majorEastAsia" w:hAnsiTheme="majorHAnsi" w:cstheme="majorBidi"/>
      <w:i/>
      <w:iCs/>
      <w:color w:val="0045E8" w:themeColor="accent2" w:themeShade="BF"/>
    </w:rPr>
  </w:style>
  <w:style w:type="character" w:customStyle="1" w:styleId="Heading8Char">
    <w:name w:val="Heading 8 Char"/>
    <w:basedOn w:val="DefaultParagraphFont"/>
    <w:link w:val="Heading8"/>
    <w:uiPriority w:val="9"/>
    <w:semiHidden/>
    <w:rsid w:val="00E51707"/>
    <w:rPr>
      <w:rFonts w:asciiTheme="majorHAnsi" w:eastAsiaTheme="majorEastAsia" w:hAnsiTheme="majorHAnsi" w:cstheme="majorBidi"/>
      <w:i/>
      <w:iCs/>
      <w:color w:val="3773FF" w:themeColor="accent2"/>
    </w:rPr>
  </w:style>
  <w:style w:type="character" w:customStyle="1" w:styleId="Heading9Char">
    <w:name w:val="Heading 9 Char"/>
    <w:basedOn w:val="DefaultParagraphFont"/>
    <w:link w:val="Heading9"/>
    <w:uiPriority w:val="9"/>
    <w:semiHidden/>
    <w:rsid w:val="00E51707"/>
    <w:rPr>
      <w:rFonts w:asciiTheme="majorHAnsi" w:eastAsiaTheme="majorEastAsia" w:hAnsiTheme="majorHAnsi" w:cstheme="majorBidi"/>
      <w:i/>
      <w:iCs/>
      <w:color w:val="3773FF" w:themeColor="accent2"/>
      <w:sz w:val="20"/>
      <w:szCs w:val="20"/>
    </w:rPr>
  </w:style>
  <w:style w:type="paragraph" w:styleId="Title">
    <w:name w:val="Title"/>
    <w:basedOn w:val="Normal"/>
    <w:next w:val="Normal"/>
    <w:link w:val="TitleChar"/>
    <w:uiPriority w:val="10"/>
    <w:qFormat/>
    <w:rsid w:val="00E51707"/>
    <w:pPr>
      <w:pBdr>
        <w:top w:val="single" w:sz="48" w:space="0" w:color="3773FF" w:themeColor="accent2"/>
        <w:bottom w:val="single" w:sz="48" w:space="0" w:color="3773FF" w:themeColor="accent2"/>
      </w:pBdr>
      <w:shd w:val="clear" w:color="auto" w:fill="3773F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51707"/>
    <w:rPr>
      <w:rFonts w:asciiTheme="majorHAnsi" w:eastAsiaTheme="majorEastAsia" w:hAnsiTheme="majorHAnsi" w:cstheme="majorBidi"/>
      <w:i/>
      <w:iCs/>
      <w:color w:val="FFFFFF" w:themeColor="background1"/>
      <w:spacing w:val="10"/>
      <w:sz w:val="48"/>
      <w:szCs w:val="48"/>
      <w:shd w:val="clear" w:color="auto" w:fill="3773FF" w:themeFill="accent2"/>
    </w:rPr>
  </w:style>
  <w:style w:type="paragraph" w:styleId="Subtitle">
    <w:name w:val="Subtitle"/>
    <w:basedOn w:val="Normal"/>
    <w:next w:val="Normal"/>
    <w:link w:val="SubtitleChar"/>
    <w:uiPriority w:val="11"/>
    <w:qFormat/>
    <w:rsid w:val="00E51707"/>
    <w:pPr>
      <w:pBdr>
        <w:bottom w:val="dotted" w:sz="8" w:space="10" w:color="3773FF" w:themeColor="accent2"/>
      </w:pBdr>
      <w:spacing w:before="200" w:after="900" w:line="240" w:lineRule="auto"/>
      <w:jc w:val="center"/>
    </w:pPr>
    <w:rPr>
      <w:rFonts w:asciiTheme="majorHAnsi" w:eastAsiaTheme="majorEastAsia" w:hAnsiTheme="majorHAnsi" w:cstheme="majorBidi"/>
      <w:color w:val="002D9A" w:themeColor="accent2" w:themeShade="7F"/>
      <w:sz w:val="24"/>
      <w:szCs w:val="24"/>
    </w:rPr>
  </w:style>
  <w:style w:type="character" w:customStyle="1" w:styleId="SubtitleChar">
    <w:name w:val="Subtitle Char"/>
    <w:basedOn w:val="DefaultParagraphFont"/>
    <w:link w:val="Subtitle"/>
    <w:uiPriority w:val="11"/>
    <w:rsid w:val="00E51707"/>
    <w:rPr>
      <w:rFonts w:asciiTheme="majorHAnsi" w:eastAsiaTheme="majorEastAsia" w:hAnsiTheme="majorHAnsi" w:cstheme="majorBidi"/>
      <w:i/>
      <w:iCs/>
      <w:color w:val="002D9A" w:themeColor="accent2" w:themeShade="7F"/>
      <w:sz w:val="24"/>
      <w:szCs w:val="24"/>
    </w:rPr>
  </w:style>
  <w:style w:type="paragraph" w:styleId="Quote">
    <w:name w:val="Quote"/>
    <w:basedOn w:val="Normal"/>
    <w:next w:val="Normal"/>
    <w:link w:val="QuoteChar"/>
    <w:uiPriority w:val="29"/>
    <w:qFormat/>
    <w:rsid w:val="00E51707"/>
    <w:rPr>
      <w:i w:val="0"/>
      <w:iCs w:val="0"/>
      <w:color w:val="0045E8" w:themeColor="accent2" w:themeShade="BF"/>
    </w:rPr>
  </w:style>
  <w:style w:type="character" w:customStyle="1" w:styleId="QuoteChar">
    <w:name w:val="Quote Char"/>
    <w:basedOn w:val="DefaultParagraphFont"/>
    <w:link w:val="Quote"/>
    <w:uiPriority w:val="29"/>
    <w:rsid w:val="00E51707"/>
    <w:rPr>
      <w:color w:val="0045E8" w:themeColor="accent2" w:themeShade="BF"/>
      <w:sz w:val="20"/>
      <w:szCs w:val="20"/>
    </w:rPr>
  </w:style>
  <w:style w:type="paragraph" w:styleId="ListParagraph">
    <w:name w:val="List Paragraph"/>
    <w:basedOn w:val="Normal"/>
    <w:uiPriority w:val="34"/>
    <w:qFormat/>
    <w:rsid w:val="00E51707"/>
    <w:pPr>
      <w:ind w:left="720"/>
      <w:contextualSpacing/>
    </w:pPr>
  </w:style>
  <w:style w:type="character" w:styleId="IntenseEmphasis">
    <w:name w:val="Intense Emphasis"/>
    <w:uiPriority w:val="21"/>
    <w:qFormat/>
    <w:rsid w:val="00E51707"/>
    <w:rPr>
      <w:rFonts w:asciiTheme="majorHAnsi" w:eastAsiaTheme="majorEastAsia" w:hAnsiTheme="majorHAnsi" w:cstheme="majorBidi"/>
      <w:b/>
      <w:bCs/>
      <w:i/>
      <w:iCs/>
      <w:dstrike w:val="0"/>
      <w:color w:val="FFFFFF" w:themeColor="background1"/>
      <w:bdr w:val="single" w:sz="18" w:space="0" w:color="3773FF" w:themeColor="accent2"/>
      <w:shd w:val="clear" w:color="auto" w:fill="3773FF" w:themeFill="accent2"/>
      <w:vertAlign w:val="baseline"/>
    </w:rPr>
  </w:style>
  <w:style w:type="paragraph" w:styleId="IntenseQuote">
    <w:name w:val="Intense Quote"/>
    <w:basedOn w:val="Normal"/>
    <w:next w:val="Normal"/>
    <w:link w:val="IntenseQuoteChar"/>
    <w:uiPriority w:val="30"/>
    <w:qFormat/>
    <w:rsid w:val="00E51707"/>
    <w:pPr>
      <w:pBdr>
        <w:top w:val="dotted" w:sz="8" w:space="10" w:color="3773FF" w:themeColor="accent2"/>
        <w:bottom w:val="dotted" w:sz="8" w:space="10" w:color="3773FF" w:themeColor="accent2"/>
      </w:pBdr>
      <w:spacing w:line="300" w:lineRule="auto"/>
      <w:ind w:left="2160" w:right="2160"/>
      <w:jc w:val="center"/>
    </w:pPr>
    <w:rPr>
      <w:rFonts w:asciiTheme="majorHAnsi" w:eastAsiaTheme="majorEastAsia" w:hAnsiTheme="majorHAnsi" w:cstheme="majorBidi"/>
      <w:b/>
      <w:bCs/>
      <w:color w:val="3773FF" w:themeColor="accent2"/>
    </w:rPr>
  </w:style>
  <w:style w:type="character" w:customStyle="1" w:styleId="IntenseQuoteChar">
    <w:name w:val="Intense Quote Char"/>
    <w:basedOn w:val="DefaultParagraphFont"/>
    <w:link w:val="IntenseQuote"/>
    <w:uiPriority w:val="30"/>
    <w:rsid w:val="00E51707"/>
    <w:rPr>
      <w:rFonts w:asciiTheme="majorHAnsi" w:eastAsiaTheme="majorEastAsia" w:hAnsiTheme="majorHAnsi" w:cstheme="majorBidi"/>
      <w:b/>
      <w:bCs/>
      <w:i/>
      <w:iCs/>
      <w:color w:val="3773FF" w:themeColor="accent2"/>
      <w:sz w:val="20"/>
      <w:szCs w:val="20"/>
    </w:rPr>
  </w:style>
  <w:style w:type="character" w:styleId="IntenseReference">
    <w:name w:val="Intense Reference"/>
    <w:uiPriority w:val="32"/>
    <w:qFormat/>
    <w:rsid w:val="00E51707"/>
    <w:rPr>
      <w:b/>
      <w:bCs/>
      <w:i/>
      <w:iCs/>
      <w:smallCaps/>
      <w:color w:val="3773FF" w:themeColor="accent2"/>
      <w:u w:color="3773FF" w:themeColor="accent2"/>
    </w:rPr>
  </w:style>
  <w:style w:type="paragraph" w:styleId="Header">
    <w:name w:val="header"/>
    <w:basedOn w:val="Normal"/>
    <w:link w:val="HeaderChar"/>
    <w:uiPriority w:val="99"/>
    <w:unhideWhenUsed/>
    <w:rsid w:val="00E51707"/>
    <w:pPr>
      <w:tabs>
        <w:tab w:val="center" w:pos="4680"/>
        <w:tab w:val="right" w:pos="9360"/>
      </w:tabs>
    </w:pPr>
  </w:style>
  <w:style w:type="character" w:customStyle="1" w:styleId="HeaderChar">
    <w:name w:val="Header Char"/>
    <w:basedOn w:val="DefaultParagraphFont"/>
    <w:link w:val="Header"/>
    <w:uiPriority w:val="99"/>
    <w:rsid w:val="00E51707"/>
  </w:style>
  <w:style w:type="paragraph" w:styleId="Footer">
    <w:name w:val="footer"/>
    <w:basedOn w:val="Normal"/>
    <w:link w:val="FooterChar"/>
    <w:uiPriority w:val="99"/>
    <w:unhideWhenUsed/>
    <w:rsid w:val="00E51707"/>
    <w:pPr>
      <w:tabs>
        <w:tab w:val="center" w:pos="4680"/>
        <w:tab w:val="right" w:pos="9360"/>
      </w:tabs>
    </w:pPr>
  </w:style>
  <w:style w:type="character" w:customStyle="1" w:styleId="FooterChar">
    <w:name w:val="Footer Char"/>
    <w:basedOn w:val="DefaultParagraphFont"/>
    <w:link w:val="Footer"/>
    <w:uiPriority w:val="99"/>
    <w:rsid w:val="00E51707"/>
  </w:style>
  <w:style w:type="paragraph" w:styleId="Caption">
    <w:name w:val="caption"/>
    <w:basedOn w:val="Normal"/>
    <w:next w:val="Normal"/>
    <w:uiPriority w:val="35"/>
    <w:semiHidden/>
    <w:unhideWhenUsed/>
    <w:qFormat/>
    <w:rsid w:val="00E51707"/>
    <w:rPr>
      <w:b/>
      <w:bCs/>
      <w:color w:val="0045E8" w:themeColor="accent2" w:themeShade="BF"/>
      <w:sz w:val="18"/>
      <w:szCs w:val="18"/>
    </w:rPr>
  </w:style>
  <w:style w:type="character" w:styleId="Strong">
    <w:name w:val="Strong"/>
    <w:uiPriority w:val="22"/>
    <w:qFormat/>
    <w:rsid w:val="00E51707"/>
    <w:rPr>
      <w:b/>
      <w:bCs/>
      <w:spacing w:val="0"/>
    </w:rPr>
  </w:style>
  <w:style w:type="character" w:styleId="Emphasis">
    <w:name w:val="Emphasis"/>
    <w:uiPriority w:val="20"/>
    <w:qFormat/>
    <w:rsid w:val="00E51707"/>
    <w:rPr>
      <w:rFonts w:asciiTheme="majorHAnsi" w:eastAsiaTheme="majorEastAsia" w:hAnsiTheme="majorHAnsi" w:cstheme="majorBidi"/>
      <w:b/>
      <w:bCs/>
      <w:i/>
      <w:iCs/>
      <w:color w:val="3773FF" w:themeColor="accent2"/>
      <w:bdr w:val="single" w:sz="18" w:space="0" w:color="D7E2FF" w:themeColor="accent2" w:themeTint="33"/>
      <w:shd w:val="clear" w:color="auto" w:fill="D7E2FF" w:themeFill="accent2" w:themeFillTint="33"/>
    </w:rPr>
  </w:style>
  <w:style w:type="paragraph" w:styleId="NoSpacing">
    <w:name w:val="No Spacing"/>
    <w:basedOn w:val="Normal"/>
    <w:link w:val="NoSpacingChar"/>
    <w:uiPriority w:val="1"/>
    <w:qFormat/>
    <w:rsid w:val="00E51707"/>
    <w:pPr>
      <w:spacing w:after="0" w:line="240" w:lineRule="auto"/>
    </w:pPr>
  </w:style>
  <w:style w:type="character" w:styleId="SubtleEmphasis">
    <w:name w:val="Subtle Emphasis"/>
    <w:uiPriority w:val="19"/>
    <w:qFormat/>
    <w:rsid w:val="00E51707"/>
    <w:rPr>
      <w:rFonts w:asciiTheme="majorHAnsi" w:eastAsiaTheme="majorEastAsia" w:hAnsiTheme="majorHAnsi" w:cstheme="majorBidi"/>
      <w:i/>
      <w:iCs/>
      <w:color w:val="3773FF" w:themeColor="accent2"/>
    </w:rPr>
  </w:style>
  <w:style w:type="character" w:styleId="SubtleReference">
    <w:name w:val="Subtle Reference"/>
    <w:uiPriority w:val="31"/>
    <w:qFormat/>
    <w:rsid w:val="00E51707"/>
    <w:rPr>
      <w:i/>
      <w:iCs/>
      <w:smallCaps/>
      <w:color w:val="3773FF" w:themeColor="accent2"/>
      <w:u w:color="3773FF" w:themeColor="accent2"/>
    </w:rPr>
  </w:style>
  <w:style w:type="character" w:styleId="BookTitle">
    <w:name w:val="Book Title"/>
    <w:uiPriority w:val="33"/>
    <w:qFormat/>
    <w:rsid w:val="00E51707"/>
    <w:rPr>
      <w:rFonts w:asciiTheme="majorHAnsi" w:eastAsiaTheme="majorEastAsia" w:hAnsiTheme="majorHAnsi" w:cstheme="majorBidi"/>
      <w:b/>
      <w:bCs/>
      <w:i/>
      <w:iCs/>
      <w:smallCaps/>
      <w:color w:val="0045E8" w:themeColor="accent2" w:themeShade="BF"/>
      <w:u w:val="single"/>
    </w:rPr>
  </w:style>
  <w:style w:type="paragraph" w:styleId="TOCHeading">
    <w:name w:val="TOC Heading"/>
    <w:basedOn w:val="Heading1"/>
    <w:next w:val="Normal"/>
    <w:uiPriority w:val="39"/>
    <w:semiHidden/>
    <w:unhideWhenUsed/>
    <w:qFormat/>
    <w:rsid w:val="00E51707"/>
    <w:pPr>
      <w:outlineLvl w:val="9"/>
    </w:pPr>
  </w:style>
  <w:style w:type="character" w:customStyle="1" w:styleId="NoSpacingChar">
    <w:name w:val="No Spacing Char"/>
    <w:basedOn w:val="DefaultParagraphFont"/>
    <w:link w:val="NoSpacing"/>
    <w:uiPriority w:val="1"/>
    <w:rsid w:val="00E51707"/>
    <w:rPr>
      <w:i/>
      <w:iCs/>
      <w:sz w:val="20"/>
      <w:szCs w:val="20"/>
    </w:rPr>
  </w:style>
  <w:style w:type="table" w:styleId="TableGrid">
    <w:name w:val="Table Grid"/>
    <w:basedOn w:val="TableNormal"/>
    <w:uiPriority w:val="39"/>
    <w:rsid w:val="00016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89A"/>
    <w:rPr>
      <w:color w:val="0563C1" w:themeColor="hyperlink"/>
      <w:u w:val="single"/>
    </w:rPr>
  </w:style>
  <w:style w:type="character" w:styleId="UnresolvedMention">
    <w:name w:val="Unresolved Mention"/>
    <w:basedOn w:val="DefaultParagraphFont"/>
    <w:uiPriority w:val="99"/>
    <w:semiHidden/>
    <w:unhideWhenUsed/>
    <w:rsid w:val="007A189A"/>
    <w:rPr>
      <w:color w:val="605E5C"/>
      <w:shd w:val="clear" w:color="auto" w:fill="E1DFDD"/>
    </w:rPr>
  </w:style>
  <w:style w:type="character" w:styleId="FollowedHyperlink">
    <w:name w:val="FollowedHyperlink"/>
    <w:basedOn w:val="DefaultParagraphFont"/>
    <w:uiPriority w:val="99"/>
    <w:semiHidden/>
    <w:unhideWhenUsed/>
    <w:rsid w:val="00940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28781">
      <w:bodyDiv w:val="1"/>
      <w:marLeft w:val="0"/>
      <w:marRight w:val="0"/>
      <w:marTop w:val="0"/>
      <w:marBottom w:val="0"/>
      <w:divBdr>
        <w:top w:val="none" w:sz="0" w:space="0" w:color="auto"/>
        <w:left w:val="none" w:sz="0" w:space="0" w:color="auto"/>
        <w:bottom w:val="none" w:sz="0" w:space="0" w:color="auto"/>
        <w:right w:val="none" w:sz="0" w:space="0" w:color="auto"/>
      </w:divBdr>
    </w:div>
    <w:div w:id="1458180132">
      <w:bodyDiv w:val="1"/>
      <w:marLeft w:val="0"/>
      <w:marRight w:val="0"/>
      <w:marTop w:val="0"/>
      <w:marBottom w:val="0"/>
      <w:divBdr>
        <w:top w:val="none" w:sz="0" w:space="0" w:color="auto"/>
        <w:left w:val="none" w:sz="0" w:space="0" w:color="auto"/>
        <w:bottom w:val="none" w:sz="0" w:space="0" w:color="auto"/>
        <w:right w:val="none" w:sz="0" w:space="0" w:color="auto"/>
      </w:divBdr>
    </w:div>
    <w:div w:id="1549487340">
      <w:bodyDiv w:val="1"/>
      <w:marLeft w:val="0"/>
      <w:marRight w:val="0"/>
      <w:marTop w:val="0"/>
      <w:marBottom w:val="0"/>
      <w:divBdr>
        <w:top w:val="none" w:sz="0" w:space="0" w:color="auto"/>
        <w:left w:val="none" w:sz="0" w:space="0" w:color="auto"/>
        <w:bottom w:val="none" w:sz="0" w:space="0" w:color="auto"/>
        <w:right w:val="none" w:sz="0" w:space="0" w:color="auto"/>
      </w:divBdr>
    </w:div>
    <w:div w:id="211505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jhkersting.github.io/halb-fund/final/2001/mkt-rf-alpha/portfolio-clean.csv" TargetMode="External"/><Relationship Id="rId5" Type="http://schemas.openxmlformats.org/officeDocument/2006/relationships/endnotes" Target="endnotes.xml"/><Relationship Id="rId10" Type="http://schemas.openxmlformats.org/officeDocument/2006/relationships/hyperlink" Target="https://jhkersting.github.io/halb-fund/final/daily-portfolio-returns.csv" TargetMode="External"/><Relationship Id="rId4" Type="http://schemas.openxmlformats.org/officeDocument/2006/relationships/footnotes" Target="footnotes.xml"/><Relationship Id="rId9" Type="http://schemas.openxmlformats.org/officeDocument/2006/relationships/hyperlink" Target="https://jhkersting.github.io/halb-fund/yearly-portfolio-weights.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hkersting/Desktop/fi-596/final/year-data-fu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jhkersting/Desktop/fi-596/final/year-data-full.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jhkersting/Desktop/fi-596/final/yearly-sector-weigh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SF COMPACT MEDIUM" panose="020B0A04030202060204" pitchFamily="34" charset="77"/>
                <a:ea typeface="+mn-ea"/>
                <a:cs typeface="JetBrains Mono" panose="02000009000000000000" pitchFamily="49" charset="0"/>
              </a:defRPr>
            </a:pPr>
            <a:r>
              <a:rPr lang="en-US" b="0" i="0">
                <a:solidFill>
                  <a:schemeClr val="bg1"/>
                </a:solidFill>
                <a:latin typeface="SF COMPACT MEDIUM" panose="020B0A04030202060204" pitchFamily="34" charset="77"/>
              </a:rPr>
              <a:t>Yearly Returns</a:t>
            </a:r>
          </a:p>
        </c:rich>
      </c:tx>
      <c:layout>
        <c:manualLayout>
          <c:xMode val="edge"/>
          <c:yMode val="edge"/>
          <c:x val="3.2451122892506259E-4"/>
          <c:y val="0"/>
        </c:manualLayout>
      </c:layout>
      <c:overlay val="0"/>
      <c:spPr>
        <a:solidFill>
          <a:schemeClr val="accent2"/>
        </a:solidFill>
        <a:ln>
          <a:noFill/>
        </a:ln>
        <a:effectLst/>
      </c:spPr>
      <c:txPr>
        <a:bodyPr rot="0" spcFirstLastPara="1" vertOverflow="ellipsis" vert="horz" wrap="square" anchor="ctr" anchorCtr="1"/>
        <a:lstStyle/>
        <a:p>
          <a:pPr>
            <a:defRPr sz="1400" b="0" i="0" u="none" strike="noStrike" kern="1200" spc="0" baseline="0">
              <a:solidFill>
                <a:schemeClr val="bg1"/>
              </a:solidFill>
              <a:latin typeface="SF COMPACT MEDIUM" panose="020B0A04030202060204" pitchFamily="34" charset="77"/>
              <a:ea typeface="+mn-ea"/>
              <a:cs typeface="JetBrains Mono" panose="02000009000000000000" pitchFamily="49" charset="0"/>
            </a:defRPr>
          </a:pPr>
          <a:endParaRPr lang="en-US"/>
        </a:p>
      </c:txPr>
    </c:title>
    <c:autoTitleDeleted val="0"/>
    <c:plotArea>
      <c:layout/>
      <c:barChart>
        <c:barDir val="col"/>
        <c:grouping val="clustered"/>
        <c:varyColors val="0"/>
        <c:ser>
          <c:idx val="0"/>
          <c:order val="0"/>
          <c:tx>
            <c:strRef>
              <c:f>analaysis!$B$1</c:f>
              <c:strCache>
                <c:ptCount val="1"/>
                <c:pt idx="0">
                  <c:v>Portfolio</c:v>
                </c:pt>
              </c:strCache>
            </c:strRef>
          </c:tx>
          <c:spPr>
            <a:solidFill>
              <a:schemeClr val="accent2"/>
            </a:solidFill>
            <a:ln>
              <a:noFill/>
            </a:ln>
            <a:effectLst/>
          </c:spPr>
          <c:invertIfNegative val="0"/>
          <c:cat>
            <c:numRef>
              <c:f>analaysis!$A$2:$A$24</c:f>
              <c:numCache>
                <c:formatCode>General</c:formatCode>
                <c:ptCount val="2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pt idx="21">
                  <c:v>2022</c:v>
                </c:pt>
                <c:pt idx="22">
                  <c:v>2023</c:v>
                </c:pt>
              </c:numCache>
            </c:numRef>
          </c:cat>
          <c:val>
            <c:numRef>
              <c:f>analaysis!$B$2:$B$24</c:f>
              <c:numCache>
                <c:formatCode>0.0%</c:formatCode>
                <c:ptCount val="23"/>
                <c:pt idx="0">
                  <c:v>0.42138999999999999</c:v>
                </c:pt>
                <c:pt idx="1">
                  <c:v>0.37247000000000002</c:v>
                </c:pt>
                <c:pt idx="2">
                  <c:v>0.71601000000000004</c:v>
                </c:pt>
                <c:pt idx="3">
                  <c:v>0.77690999999999999</c:v>
                </c:pt>
                <c:pt idx="4">
                  <c:v>0.39959</c:v>
                </c:pt>
                <c:pt idx="5">
                  <c:v>0.28281000000000001</c:v>
                </c:pt>
                <c:pt idx="6">
                  <c:v>0.16747999999999999</c:v>
                </c:pt>
                <c:pt idx="7">
                  <c:v>-0.39478000000000002</c:v>
                </c:pt>
                <c:pt idx="8">
                  <c:v>0.82484000000000002</c:v>
                </c:pt>
                <c:pt idx="9">
                  <c:v>0.39445999999999998</c:v>
                </c:pt>
                <c:pt idx="10">
                  <c:v>0.19192999999999999</c:v>
                </c:pt>
                <c:pt idx="11">
                  <c:v>0.65686999999999995</c:v>
                </c:pt>
                <c:pt idx="12">
                  <c:v>0.82504</c:v>
                </c:pt>
                <c:pt idx="13">
                  <c:v>0.16775000000000001</c:v>
                </c:pt>
                <c:pt idx="14">
                  <c:v>0.21246000000000001</c:v>
                </c:pt>
                <c:pt idx="15">
                  <c:v>0.27904000000000001</c:v>
                </c:pt>
                <c:pt idx="16">
                  <c:v>0.25524000000000002</c:v>
                </c:pt>
                <c:pt idx="17">
                  <c:v>-1.2149999999999999E-2</c:v>
                </c:pt>
                <c:pt idx="18">
                  <c:v>0.31037999999999999</c:v>
                </c:pt>
                <c:pt idx="19">
                  <c:v>0.35602</c:v>
                </c:pt>
                <c:pt idx="20">
                  <c:v>0.28003</c:v>
                </c:pt>
                <c:pt idx="21">
                  <c:v>-0.15522</c:v>
                </c:pt>
                <c:pt idx="22">
                  <c:v>0.23951</c:v>
                </c:pt>
              </c:numCache>
            </c:numRef>
          </c:val>
          <c:extLst>
            <c:ext xmlns:c16="http://schemas.microsoft.com/office/drawing/2014/chart" uri="{C3380CC4-5D6E-409C-BE32-E72D297353CC}">
              <c16:uniqueId val="{00000000-7F74-B945-816D-E318BF5044EE}"/>
            </c:ext>
          </c:extLst>
        </c:ser>
        <c:ser>
          <c:idx val="1"/>
          <c:order val="1"/>
          <c:tx>
            <c:strRef>
              <c:f>analaysis!$C$1</c:f>
              <c:strCache>
                <c:ptCount val="1"/>
                <c:pt idx="0">
                  <c:v>Equal</c:v>
                </c:pt>
              </c:strCache>
            </c:strRef>
          </c:tx>
          <c:spPr>
            <a:solidFill>
              <a:schemeClr val="accent1">
                <a:alpha val="47077"/>
              </a:schemeClr>
            </a:solidFill>
            <a:ln>
              <a:noFill/>
            </a:ln>
            <a:effectLst/>
          </c:spPr>
          <c:invertIfNegative val="0"/>
          <c:cat>
            <c:numRef>
              <c:f>analaysis!$A$2:$A$24</c:f>
              <c:numCache>
                <c:formatCode>General</c:formatCode>
                <c:ptCount val="2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pt idx="21">
                  <c:v>2022</c:v>
                </c:pt>
                <c:pt idx="22">
                  <c:v>2023</c:v>
                </c:pt>
              </c:numCache>
            </c:numRef>
          </c:cat>
          <c:val>
            <c:numRef>
              <c:f>analaysis!$C$2:$C$24</c:f>
              <c:numCache>
                <c:formatCode>0.0%</c:formatCode>
                <c:ptCount val="23"/>
                <c:pt idx="0">
                  <c:v>0.23995</c:v>
                </c:pt>
                <c:pt idx="1">
                  <c:v>-1.98E-3</c:v>
                </c:pt>
                <c:pt idx="2">
                  <c:v>0.47392000000000001</c:v>
                </c:pt>
                <c:pt idx="3">
                  <c:v>0.26822000000000001</c:v>
                </c:pt>
                <c:pt idx="4">
                  <c:v>0.12945999999999999</c:v>
                </c:pt>
                <c:pt idx="5">
                  <c:v>0.22306999999999999</c:v>
                </c:pt>
                <c:pt idx="6">
                  <c:v>4.2939999999999999E-2</c:v>
                </c:pt>
                <c:pt idx="7">
                  <c:v>-0.46371000000000001</c:v>
                </c:pt>
                <c:pt idx="8">
                  <c:v>0.41003000000000001</c:v>
                </c:pt>
                <c:pt idx="9">
                  <c:v>0.24759</c:v>
                </c:pt>
                <c:pt idx="10">
                  <c:v>-5.2080000000000001E-2</c:v>
                </c:pt>
                <c:pt idx="11">
                  <c:v>0.20977000000000001</c:v>
                </c:pt>
                <c:pt idx="12">
                  <c:v>0.34939999999999999</c:v>
                </c:pt>
                <c:pt idx="13">
                  <c:v>9.3100000000000002E-2</c:v>
                </c:pt>
                <c:pt idx="14">
                  <c:v>-2.2380000000000001E-2</c:v>
                </c:pt>
                <c:pt idx="15">
                  <c:v>0.21429000000000001</c:v>
                </c:pt>
                <c:pt idx="16">
                  <c:v>0.20796000000000001</c:v>
                </c:pt>
                <c:pt idx="17">
                  <c:v>-8.2680000000000003E-2</c:v>
                </c:pt>
                <c:pt idx="18">
                  <c:v>0.27953</c:v>
                </c:pt>
                <c:pt idx="19">
                  <c:v>0.2009</c:v>
                </c:pt>
                <c:pt idx="20">
                  <c:v>0.25380999999999998</c:v>
                </c:pt>
                <c:pt idx="21">
                  <c:v>-0.14435000000000001</c:v>
                </c:pt>
                <c:pt idx="22">
                  <c:v>0.23616000000000001</c:v>
                </c:pt>
              </c:numCache>
            </c:numRef>
          </c:val>
          <c:extLst>
            <c:ext xmlns:c16="http://schemas.microsoft.com/office/drawing/2014/chart" uri="{C3380CC4-5D6E-409C-BE32-E72D297353CC}">
              <c16:uniqueId val="{00000001-7F74-B945-816D-E318BF5044EE}"/>
            </c:ext>
          </c:extLst>
        </c:ser>
        <c:dLbls>
          <c:showLegendKey val="0"/>
          <c:showVal val="0"/>
          <c:showCatName val="0"/>
          <c:showSerName val="0"/>
          <c:showPercent val="0"/>
          <c:showBubbleSize val="0"/>
        </c:dLbls>
        <c:gapWidth val="0"/>
        <c:overlap val="100"/>
        <c:axId val="410676496"/>
        <c:axId val="12358816"/>
      </c:barChart>
      <c:catAx>
        <c:axId val="41067649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12358816"/>
        <c:crosses val="autoZero"/>
        <c:auto val="1"/>
        <c:lblAlgn val="ctr"/>
        <c:lblOffset val="100"/>
        <c:tickLblSkip val="2"/>
        <c:tickMarkSkip val="2"/>
        <c:noMultiLvlLbl val="0"/>
      </c:catAx>
      <c:valAx>
        <c:axId val="12358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41067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latin typeface="SF COMPACT LIGHT" panose="020B0A04030202060204" pitchFamily="34" charset="77"/>
          <a:cs typeface="JetBrains Mono" panose="02000009000000000000" pitchFamily="49"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SF COMPACT MEDIUM" panose="020B0A04030202060204" pitchFamily="34" charset="77"/>
                <a:ea typeface="+mn-ea"/>
                <a:cs typeface="JetBrains Mono" panose="02000009000000000000" pitchFamily="49" charset="0"/>
              </a:defRPr>
            </a:pPr>
            <a:r>
              <a:rPr lang="en-US" b="0" i="0">
                <a:solidFill>
                  <a:schemeClr val="bg1"/>
                </a:solidFill>
                <a:latin typeface="SF COMPACT MEDIUM" panose="020B0A04030202060204" pitchFamily="34" charset="77"/>
              </a:rPr>
              <a:t>Yearly Alpha</a:t>
            </a:r>
          </a:p>
        </c:rich>
      </c:tx>
      <c:layout>
        <c:manualLayout>
          <c:xMode val="edge"/>
          <c:yMode val="edge"/>
          <c:x val="3.2444172488686166E-4"/>
          <c:y val="0"/>
        </c:manualLayout>
      </c:layout>
      <c:overlay val="0"/>
      <c:spPr>
        <a:solidFill>
          <a:schemeClr val="accent2"/>
        </a:solidFill>
        <a:ln>
          <a:noFill/>
        </a:ln>
        <a:effectLst/>
      </c:spPr>
    </c:title>
    <c:autoTitleDeleted val="0"/>
    <c:plotArea>
      <c:layout>
        <c:manualLayout>
          <c:layoutTarget val="inner"/>
          <c:xMode val="edge"/>
          <c:yMode val="edge"/>
          <c:x val="0.13664241478781847"/>
          <c:y val="0.15899952077140456"/>
          <c:w val="0.80477349596885361"/>
          <c:h val="0.70374668078770863"/>
        </c:manualLayout>
      </c:layout>
      <c:barChart>
        <c:barDir val="col"/>
        <c:grouping val="clustered"/>
        <c:varyColors val="0"/>
        <c:ser>
          <c:idx val="2"/>
          <c:order val="0"/>
          <c:tx>
            <c:v>"Alpha"</c:v>
          </c:tx>
          <c:spPr>
            <a:solidFill>
              <a:schemeClr val="accent2"/>
            </a:solidFill>
          </c:spPr>
          <c:invertIfNegative val="0"/>
          <c:cat>
            <c:numRef>
              <c:f>analaysis!$A$2:$A$24</c:f>
              <c:numCache>
                <c:formatCode>General</c:formatCode>
                <c:ptCount val="2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pt idx="21">
                  <c:v>2022</c:v>
                </c:pt>
                <c:pt idx="22">
                  <c:v>2023</c:v>
                </c:pt>
              </c:numCache>
            </c:numRef>
          </c:cat>
          <c:val>
            <c:numRef>
              <c:f>analaysis!$K$2:$K$24</c:f>
              <c:numCache>
                <c:formatCode>0.0%</c:formatCode>
                <c:ptCount val="23"/>
                <c:pt idx="0">
                  <c:v>0.21711509400875584</c:v>
                </c:pt>
                <c:pt idx="1">
                  <c:v>0.39433925482065879</c:v>
                </c:pt>
                <c:pt idx="2">
                  <c:v>0.41199518127715851</c:v>
                </c:pt>
                <c:pt idx="3">
                  <c:v>0.35285707099178487</c:v>
                </c:pt>
                <c:pt idx="4">
                  <c:v>0.24188062504870445</c:v>
                </c:pt>
                <c:pt idx="5">
                  <c:v>0.18386376186805675</c:v>
                </c:pt>
                <c:pt idx="6">
                  <c:v>2.0363762522676465E-2</c:v>
                </c:pt>
                <c:pt idx="7">
                  <c:v>6.7704998634994684E-2</c:v>
                </c:pt>
                <c:pt idx="8">
                  <c:v>0.67122409751110168</c:v>
                </c:pt>
                <c:pt idx="9">
                  <c:v>0.16905015482356878</c:v>
                </c:pt>
                <c:pt idx="10">
                  <c:v>0.2450113992242362</c:v>
                </c:pt>
                <c:pt idx="11">
                  <c:v>0.5188799347060209</c:v>
                </c:pt>
                <c:pt idx="12">
                  <c:v>0.54975827063097049</c:v>
                </c:pt>
                <c:pt idx="13">
                  <c:v>0.10047489592637127</c:v>
                </c:pt>
                <c:pt idx="14">
                  <c:v>0.23564258209645472</c:v>
                </c:pt>
                <c:pt idx="15">
                  <c:v>0.17791601492522879</c:v>
                </c:pt>
                <c:pt idx="16">
                  <c:v>0.11442291875534072</c:v>
                </c:pt>
                <c:pt idx="17">
                  <c:v>2.8106206602160011E-2</c:v>
                </c:pt>
                <c:pt idx="18">
                  <c:v>9.7706227426229697E-2</c:v>
                </c:pt>
                <c:pt idx="19">
                  <c:v>0.1399745543440718</c:v>
                </c:pt>
                <c:pt idx="20">
                  <c:v>0.26396182069095508</c:v>
                </c:pt>
                <c:pt idx="21">
                  <c:v>0.1399745543440718</c:v>
                </c:pt>
                <c:pt idx="22">
                  <c:v>0.11723358182093513</c:v>
                </c:pt>
              </c:numCache>
            </c:numRef>
          </c:val>
          <c:extLst>
            <c:ext xmlns:c16="http://schemas.microsoft.com/office/drawing/2014/chart" uri="{C3380CC4-5D6E-409C-BE32-E72D297353CC}">
              <c16:uniqueId val="{00000000-86EA-6D46-B4BB-C4BAE663160E}"/>
            </c:ext>
          </c:extLst>
        </c:ser>
        <c:dLbls>
          <c:showLegendKey val="0"/>
          <c:showVal val="0"/>
          <c:showCatName val="0"/>
          <c:showSerName val="0"/>
          <c:showPercent val="0"/>
          <c:showBubbleSize val="0"/>
        </c:dLbls>
        <c:gapWidth val="0"/>
        <c:overlap val="100"/>
        <c:axId val="410676496"/>
        <c:axId val="12358816"/>
      </c:barChart>
      <c:catAx>
        <c:axId val="41067649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12358816"/>
        <c:crosses val="autoZero"/>
        <c:auto val="1"/>
        <c:lblAlgn val="ctr"/>
        <c:lblOffset val="100"/>
        <c:tickLblSkip val="2"/>
        <c:tickMarkSkip val="2"/>
        <c:noMultiLvlLbl val="0"/>
      </c:catAx>
      <c:valAx>
        <c:axId val="12358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410676496"/>
        <c:crosses val="autoZero"/>
        <c:crossBetween val="between"/>
      </c:valAx>
    </c:plotArea>
    <c:plotVisOnly val="1"/>
    <c:dispBlanksAs val="gap"/>
    <c:showDLblsOverMax val="0"/>
    <c:extLst/>
  </c:chart>
  <c:spPr>
    <a:ln>
      <a:noFill/>
    </a:ln>
  </c:spPr>
  <c:txPr>
    <a:bodyPr/>
    <a:lstStyle/>
    <a:p>
      <a:pPr>
        <a:defRPr>
          <a:solidFill>
            <a:schemeClr val="tx1"/>
          </a:solidFill>
          <a:latin typeface="SF COMPACT LIGHT" panose="020B0A04030202060204" pitchFamily="34" charset="77"/>
          <a:cs typeface="JetBrains Mono" panose="02000009000000000000" pitchFamily="49"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bg1"/>
                </a:solidFill>
                <a:latin typeface="SF COMPACT MEDIUM" panose="020B0A04030202060204" pitchFamily="34" charset="77"/>
                <a:ea typeface="+mn-ea"/>
                <a:cs typeface="+mn-cs"/>
              </a:defRPr>
            </a:pPr>
            <a:r>
              <a:rPr lang="en-US" sz="1200" b="0" i="0">
                <a:solidFill>
                  <a:schemeClr val="bg1"/>
                </a:solidFill>
                <a:latin typeface="SF COMPACT MEDIUM" panose="020B0A04030202060204" pitchFamily="34" charset="77"/>
              </a:rPr>
              <a:t>Sector Weights</a:t>
            </a:r>
          </a:p>
        </c:rich>
      </c:tx>
      <c:layout>
        <c:manualLayout>
          <c:xMode val="edge"/>
          <c:yMode val="edge"/>
          <c:x val="9.0029611683155048E-4"/>
          <c:y val="0"/>
        </c:manualLayout>
      </c:layout>
      <c:overlay val="0"/>
      <c:spPr>
        <a:solidFill>
          <a:schemeClr val="accent2"/>
        </a:solidFill>
        <a:ln>
          <a:noFill/>
        </a:ln>
        <a:effectLst/>
      </c:spPr>
      <c:txPr>
        <a:bodyPr rot="0" spcFirstLastPara="1" vertOverflow="ellipsis" vert="horz" wrap="square" anchor="ctr" anchorCtr="1"/>
        <a:lstStyle/>
        <a:p>
          <a:pPr>
            <a:defRPr sz="1200" b="0" i="0" u="none" strike="noStrike" kern="1200" spc="0" baseline="0">
              <a:solidFill>
                <a:schemeClr val="bg1"/>
              </a:solidFill>
              <a:latin typeface="SF COMPACT MEDIUM" panose="020B0A04030202060204" pitchFamily="34" charset="77"/>
              <a:ea typeface="+mn-ea"/>
              <a:cs typeface="+mn-cs"/>
            </a:defRPr>
          </a:pPr>
          <a:endParaRPr lang="en-US"/>
        </a:p>
      </c:txPr>
    </c:title>
    <c:autoTitleDeleted val="0"/>
    <c:plotArea>
      <c:layout>
        <c:manualLayout>
          <c:layoutTarget val="inner"/>
          <c:xMode val="edge"/>
          <c:yMode val="edge"/>
          <c:x val="6.7512113870381599E-2"/>
          <c:y val="0.13262448424794704"/>
          <c:w val="0.89361672112740931"/>
          <c:h val="0.64558170446693042"/>
        </c:manualLayout>
      </c:layout>
      <c:barChart>
        <c:barDir val="bar"/>
        <c:grouping val="percentStacked"/>
        <c:varyColors val="0"/>
        <c:ser>
          <c:idx val="0"/>
          <c:order val="0"/>
          <c:tx>
            <c:strRef>
              <c:f>Sheet1!$B$1</c:f>
              <c:strCache>
                <c:ptCount val="1"/>
                <c:pt idx="0">
                  <c:v>Healthcare</c:v>
                </c:pt>
              </c:strCache>
            </c:strRef>
          </c:tx>
          <c:spPr>
            <a:solidFill>
              <a:schemeClr val="accent1">
                <a:lumMod val="75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Sheet1!$B$2:$B$24</c:f>
              <c:numCache>
                <c:formatCode>0.0%</c:formatCode>
                <c:ptCount val="23"/>
                <c:pt idx="0">
                  <c:v>0.45490000000000003</c:v>
                </c:pt>
                <c:pt idx="1">
                  <c:v>0.42409999999999998</c:v>
                </c:pt>
                <c:pt idx="2">
                  <c:v>0.2281</c:v>
                </c:pt>
                <c:pt idx="3">
                  <c:v>0.13539999999999999</c:v>
                </c:pt>
                <c:pt idx="4">
                  <c:v>0.21809999999999999</c:v>
                </c:pt>
                <c:pt idx="5">
                  <c:v>0.24249999999999999</c:v>
                </c:pt>
                <c:pt idx="6">
                  <c:v>0.15340000000000001</c:v>
                </c:pt>
                <c:pt idx="7">
                  <c:v>0.16889999999999999</c:v>
                </c:pt>
                <c:pt idx="8">
                  <c:v>0.1961</c:v>
                </c:pt>
                <c:pt idx="9">
                  <c:v>0.30270000000000002</c:v>
                </c:pt>
                <c:pt idx="10">
                  <c:v>0.22289999999999999</c:v>
                </c:pt>
                <c:pt idx="11">
                  <c:v>0.1958</c:v>
                </c:pt>
                <c:pt idx="12">
                  <c:v>0.18140000000000001</c:v>
                </c:pt>
                <c:pt idx="13">
                  <c:v>0.1636</c:v>
                </c:pt>
                <c:pt idx="14">
                  <c:v>0.29520000000000002</c:v>
                </c:pt>
                <c:pt idx="15">
                  <c:v>0.27650000000000002</c:v>
                </c:pt>
                <c:pt idx="16">
                  <c:v>0.193</c:v>
                </c:pt>
                <c:pt idx="17">
                  <c:v>0.16889999999999999</c:v>
                </c:pt>
                <c:pt idx="18">
                  <c:v>0.17169999999999999</c:v>
                </c:pt>
                <c:pt idx="19">
                  <c:v>0.1095</c:v>
                </c:pt>
                <c:pt idx="20">
                  <c:v>8.7900000000000006E-2</c:v>
                </c:pt>
                <c:pt idx="21">
                  <c:v>8.4900000000000003E-2</c:v>
                </c:pt>
                <c:pt idx="22">
                  <c:v>0.2364</c:v>
                </c:pt>
              </c:numCache>
            </c:numRef>
          </c:val>
          <c:extLst>
            <c:ext xmlns:c16="http://schemas.microsoft.com/office/drawing/2014/chart" uri="{C3380CC4-5D6E-409C-BE32-E72D297353CC}">
              <c16:uniqueId val="{00000000-7854-7944-B09C-FF1789197C01}"/>
            </c:ext>
          </c:extLst>
        </c:ser>
        <c:ser>
          <c:idx val="1"/>
          <c:order val="1"/>
          <c:tx>
            <c:strRef>
              <c:f>Sheet1!$C$1</c:f>
              <c:strCache>
                <c:ptCount val="1"/>
                <c:pt idx="0">
                  <c:v>Financial Services</c:v>
                </c:pt>
              </c:strCache>
            </c:strRef>
          </c:tx>
          <c:spPr>
            <a:solidFill>
              <a:schemeClr val="accent1"/>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Sheet1!$C$2:$C$24</c:f>
              <c:numCache>
                <c:formatCode>0.0%</c:formatCode>
                <c:ptCount val="23"/>
                <c:pt idx="0">
                  <c:v>8.6199999999999999E-2</c:v>
                </c:pt>
                <c:pt idx="1">
                  <c:v>0.11550000000000001</c:v>
                </c:pt>
                <c:pt idx="2">
                  <c:v>0.11799999999999999</c:v>
                </c:pt>
                <c:pt idx="3">
                  <c:v>6.9500000000000006E-2</c:v>
                </c:pt>
                <c:pt idx="4">
                  <c:v>0.1643</c:v>
                </c:pt>
                <c:pt idx="5">
                  <c:v>9.3200000000000005E-2</c:v>
                </c:pt>
                <c:pt idx="6">
                  <c:v>0.2031</c:v>
                </c:pt>
                <c:pt idx="7">
                  <c:v>0.17910000000000001</c:v>
                </c:pt>
                <c:pt idx="8">
                  <c:v>0.1094</c:v>
                </c:pt>
                <c:pt idx="9">
                  <c:v>0.16059999999999999</c:v>
                </c:pt>
                <c:pt idx="10">
                  <c:v>0.16539999999999999</c:v>
                </c:pt>
                <c:pt idx="11">
                  <c:v>0.20369999999999999</c:v>
                </c:pt>
                <c:pt idx="12">
                  <c:v>0.1928</c:v>
                </c:pt>
                <c:pt idx="13">
                  <c:v>0.1479</c:v>
                </c:pt>
                <c:pt idx="14">
                  <c:v>7.7399999999999997E-2</c:v>
                </c:pt>
                <c:pt idx="15">
                  <c:v>6.6900000000000001E-2</c:v>
                </c:pt>
                <c:pt idx="16">
                  <c:v>9.1200000000000003E-2</c:v>
                </c:pt>
                <c:pt idx="17">
                  <c:v>0.1741</c:v>
                </c:pt>
                <c:pt idx="18">
                  <c:v>9.35E-2</c:v>
                </c:pt>
                <c:pt idx="19">
                  <c:v>0.15129999999999999</c:v>
                </c:pt>
                <c:pt idx="20">
                  <c:v>0.2147</c:v>
                </c:pt>
                <c:pt idx="21">
                  <c:v>0.13730000000000001</c:v>
                </c:pt>
                <c:pt idx="22">
                  <c:v>9.9400000000000002E-2</c:v>
                </c:pt>
              </c:numCache>
            </c:numRef>
          </c:val>
          <c:extLst>
            <c:ext xmlns:c16="http://schemas.microsoft.com/office/drawing/2014/chart" uri="{C3380CC4-5D6E-409C-BE32-E72D297353CC}">
              <c16:uniqueId val="{00000001-7854-7944-B09C-FF1789197C01}"/>
            </c:ext>
          </c:extLst>
        </c:ser>
        <c:ser>
          <c:idx val="2"/>
          <c:order val="2"/>
          <c:tx>
            <c:strRef>
              <c:f>Sheet1!$D$1</c:f>
              <c:strCache>
                <c:ptCount val="1"/>
                <c:pt idx="0">
                  <c:v>Industrials</c:v>
                </c:pt>
              </c:strCache>
            </c:strRef>
          </c:tx>
          <c:spPr>
            <a:solidFill>
              <a:schemeClr val="accent1">
                <a:lumMod val="60000"/>
                <a:lumOff val="4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Sheet1!$D$2:$D$24</c:f>
              <c:numCache>
                <c:formatCode>0.0%</c:formatCode>
                <c:ptCount val="23"/>
                <c:pt idx="0">
                  <c:v>8.2100000000000006E-2</c:v>
                </c:pt>
                <c:pt idx="1">
                  <c:v>8.5199999999999998E-2</c:v>
                </c:pt>
                <c:pt idx="2">
                  <c:v>9.2799999999999994E-2</c:v>
                </c:pt>
                <c:pt idx="3">
                  <c:v>8.5999999999999993E-2</c:v>
                </c:pt>
                <c:pt idx="4">
                  <c:v>5.45E-2</c:v>
                </c:pt>
                <c:pt idx="5">
                  <c:v>0.1081</c:v>
                </c:pt>
                <c:pt idx="6">
                  <c:v>9.2600000000000002E-2</c:v>
                </c:pt>
                <c:pt idx="7">
                  <c:v>0.10050000000000001</c:v>
                </c:pt>
                <c:pt idx="8">
                  <c:v>9.9599999999999994E-2</c:v>
                </c:pt>
                <c:pt idx="9">
                  <c:v>0.13500000000000001</c:v>
                </c:pt>
                <c:pt idx="10">
                  <c:v>0.1517</c:v>
                </c:pt>
                <c:pt idx="11">
                  <c:v>8.43E-2</c:v>
                </c:pt>
                <c:pt idx="12">
                  <c:v>8.2699999999999996E-2</c:v>
                </c:pt>
                <c:pt idx="13">
                  <c:v>8.7300000000000003E-2</c:v>
                </c:pt>
                <c:pt idx="14">
                  <c:v>0.12139999999999999</c:v>
                </c:pt>
                <c:pt idx="15">
                  <c:v>0.161</c:v>
                </c:pt>
                <c:pt idx="16">
                  <c:v>0.1898</c:v>
                </c:pt>
                <c:pt idx="17">
                  <c:v>0.20230000000000001</c:v>
                </c:pt>
                <c:pt idx="18">
                  <c:v>0.2717</c:v>
                </c:pt>
                <c:pt idx="19">
                  <c:v>0.13750000000000001</c:v>
                </c:pt>
                <c:pt idx="20">
                  <c:v>0.1255</c:v>
                </c:pt>
                <c:pt idx="21">
                  <c:v>0.18379999999999999</c:v>
                </c:pt>
                <c:pt idx="22">
                  <c:v>0.16220000000000001</c:v>
                </c:pt>
              </c:numCache>
            </c:numRef>
          </c:val>
          <c:extLst>
            <c:ext xmlns:c16="http://schemas.microsoft.com/office/drawing/2014/chart" uri="{C3380CC4-5D6E-409C-BE32-E72D297353CC}">
              <c16:uniqueId val="{00000002-7854-7944-B09C-FF1789197C01}"/>
            </c:ext>
          </c:extLst>
        </c:ser>
        <c:ser>
          <c:idx val="3"/>
          <c:order val="3"/>
          <c:tx>
            <c:strRef>
              <c:f>Sheet1!$E$1</c:f>
              <c:strCache>
                <c:ptCount val="1"/>
                <c:pt idx="0">
                  <c:v>Basic Materials</c:v>
                </c:pt>
              </c:strCache>
            </c:strRef>
          </c:tx>
          <c:spPr>
            <a:solidFill>
              <a:schemeClr val="accent1">
                <a:lumMod val="40000"/>
                <a:lumOff val="6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Sheet1!$E$2:$E$24</c:f>
              <c:numCache>
                <c:formatCode>0.0%</c:formatCode>
                <c:ptCount val="23"/>
                <c:pt idx="0">
                  <c:v>9.2999999999999992E-3</c:v>
                </c:pt>
                <c:pt idx="1">
                  <c:v>3.8100000000000002E-2</c:v>
                </c:pt>
                <c:pt idx="2">
                  <c:v>6.7100000000000007E-2</c:v>
                </c:pt>
                <c:pt idx="3">
                  <c:v>0.33300000000000002</c:v>
                </c:pt>
                <c:pt idx="4">
                  <c:v>6.93E-2</c:v>
                </c:pt>
                <c:pt idx="5">
                  <c:v>0.15390000000000001</c:v>
                </c:pt>
                <c:pt idx="6">
                  <c:v>0.23499999999999999</c:v>
                </c:pt>
                <c:pt idx="7">
                  <c:v>0.1333</c:v>
                </c:pt>
                <c:pt idx="8">
                  <c:v>0.1149</c:v>
                </c:pt>
                <c:pt idx="9">
                  <c:v>9.7000000000000003E-3</c:v>
                </c:pt>
                <c:pt idx="10">
                  <c:v>9.1700000000000004E-2</c:v>
                </c:pt>
                <c:pt idx="11">
                  <c:v>7.9799999999999996E-2</c:v>
                </c:pt>
                <c:pt idx="12">
                  <c:v>0.129</c:v>
                </c:pt>
                <c:pt idx="13">
                  <c:v>0.1132</c:v>
                </c:pt>
                <c:pt idx="14">
                  <c:v>0.15590000000000001</c:v>
                </c:pt>
                <c:pt idx="15">
                  <c:v>6.6699999999999995E-2</c:v>
                </c:pt>
                <c:pt idx="16">
                  <c:v>0.11609999999999999</c:v>
                </c:pt>
                <c:pt idx="17">
                  <c:v>7.46E-2</c:v>
                </c:pt>
                <c:pt idx="18">
                  <c:v>3.4599999999999999E-2</c:v>
                </c:pt>
                <c:pt idx="19">
                  <c:v>0.126</c:v>
                </c:pt>
                <c:pt idx="20">
                  <c:v>0.24909999999999999</c:v>
                </c:pt>
                <c:pt idx="21">
                  <c:v>0.18440000000000001</c:v>
                </c:pt>
                <c:pt idx="22">
                  <c:v>1.06E-2</c:v>
                </c:pt>
              </c:numCache>
            </c:numRef>
          </c:val>
          <c:extLst>
            <c:ext xmlns:c16="http://schemas.microsoft.com/office/drawing/2014/chart" uri="{C3380CC4-5D6E-409C-BE32-E72D297353CC}">
              <c16:uniqueId val="{00000003-7854-7944-B09C-FF1789197C01}"/>
            </c:ext>
          </c:extLst>
        </c:ser>
        <c:ser>
          <c:idx val="4"/>
          <c:order val="4"/>
          <c:tx>
            <c:strRef>
              <c:f>Sheet1!$F$1</c:f>
              <c:strCache>
                <c:ptCount val="1"/>
                <c:pt idx="0">
                  <c:v>Technology</c:v>
                </c:pt>
              </c:strCache>
            </c:strRef>
          </c:tx>
          <c:spPr>
            <a:solidFill>
              <a:schemeClr val="accent1">
                <a:lumMod val="20000"/>
                <a:lumOff val="8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Sheet1!$F$2:$F$24</c:f>
              <c:numCache>
                <c:formatCode>0.0%</c:formatCode>
                <c:ptCount val="23"/>
                <c:pt idx="0">
                  <c:v>9.6299999999999997E-2</c:v>
                </c:pt>
                <c:pt idx="1">
                  <c:v>6.0499999999999998E-2</c:v>
                </c:pt>
                <c:pt idx="2">
                  <c:v>8.5400000000000004E-2</c:v>
                </c:pt>
                <c:pt idx="3">
                  <c:v>6.6299999999999998E-2</c:v>
                </c:pt>
                <c:pt idx="4">
                  <c:v>0.11600000000000001</c:v>
                </c:pt>
                <c:pt idx="5">
                  <c:v>3.8600000000000002E-2</c:v>
                </c:pt>
                <c:pt idx="6">
                  <c:v>7.0599999999999996E-2</c:v>
                </c:pt>
                <c:pt idx="7">
                  <c:v>8.2600000000000007E-2</c:v>
                </c:pt>
                <c:pt idx="8">
                  <c:v>4.8099999999999997E-2</c:v>
                </c:pt>
                <c:pt idx="9">
                  <c:v>9.0399999999999994E-2</c:v>
                </c:pt>
                <c:pt idx="10">
                  <c:v>8.6300000000000002E-2</c:v>
                </c:pt>
                <c:pt idx="11">
                  <c:v>9.6799999999999997E-2</c:v>
                </c:pt>
                <c:pt idx="12">
                  <c:v>9.1800000000000007E-2</c:v>
                </c:pt>
                <c:pt idx="13">
                  <c:v>0.14480000000000001</c:v>
                </c:pt>
                <c:pt idx="14">
                  <c:v>0.14360000000000001</c:v>
                </c:pt>
                <c:pt idx="15">
                  <c:v>8.3900000000000002E-2</c:v>
                </c:pt>
                <c:pt idx="16">
                  <c:v>7.5600000000000001E-2</c:v>
                </c:pt>
                <c:pt idx="17">
                  <c:v>8.8200000000000001E-2</c:v>
                </c:pt>
                <c:pt idx="18">
                  <c:v>0.11310000000000001</c:v>
                </c:pt>
                <c:pt idx="19">
                  <c:v>6.8400000000000002E-2</c:v>
                </c:pt>
                <c:pt idx="20">
                  <c:v>7.8299999999999995E-2</c:v>
                </c:pt>
                <c:pt idx="21">
                  <c:v>0.17469999999999999</c:v>
                </c:pt>
                <c:pt idx="22">
                  <c:v>0.1804</c:v>
                </c:pt>
              </c:numCache>
            </c:numRef>
          </c:val>
          <c:extLst>
            <c:ext xmlns:c16="http://schemas.microsoft.com/office/drawing/2014/chart" uri="{C3380CC4-5D6E-409C-BE32-E72D297353CC}">
              <c16:uniqueId val="{00000004-7854-7944-B09C-FF1789197C01}"/>
            </c:ext>
          </c:extLst>
        </c:ser>
        <c:ser>
          <c:idx val="5"/>
          <c:order val="5"/>
          <c:tx>
            <c:strRef>
              <c:f>Sheet1!$G$1</c:f>
              <c:strCache>
                <c:ptCount val="1"/>
                <c:pt idx="0">
                  <c:v>Consumer Cyclical</c:v>
                </c:pt>
              </c:strCache>
            </c:strRef>
          </c:tx>
          <c:spPr>
            <a:solidFill>
              <a:schemeClr val="accent2">
                <a:lumMod val="75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Sheet1!$G$2:$G$24</c:f>
              <c:numCache>
                <c:formatCode>0.0%</c:formatCode>
                <c:ptCount val="23"/>
                <c:pt idx="0">
                  <c:v>4.8099999999999997E-2</c:v>
                </c:pt>
                <c:pt idx="1">
                  <c:v>7.8799999999999995E-2</c:v>
                </c:pt>
                <c:pt idx="2">
                  <c:v>0.1203</c:v>
                </c:pt>
                <c:pt idx="3">
                  <c:v>5.5E-2</c:v>
                </c:pt>
                <c:pt idx="4">
                  <c:v>4.87E-2</c:v>
                </c:pt>
                <c:pt idx="5">
                  <c:v>9.0399999999999994E-2</c:v>
                </c:pt>
                <c:pt idx="6">
                  <c:v>5.8599999999999999E-2</c:v>
                </c:pt>
                <c:pt idx="7">
                  <c:v>9.69E-2</c:v>
                </c:pt>
                <c:pt idx="8">
                  <c:v>5.2699999999999997E-2</c:v>
                </c:pt>
                <c:pt idx="9">
                  <c:v>8.0600000000000005E-2</c:v>
                </c:pt>
                <c:pt idx="10">
                  <c:v>4.87E-2</c:v>
                </c:pt>
                <c:pt idx="11">
                  <c:v>7.0300000000000001E-2</c:v>
                </c:pt>
                <c:pt idx="12">
                  <c:v>7.51E-2</c:v>
                </c:pt>
                <c:pt idx="13">
                  <c:v>0.1106</c:v>
                </c:pt>
                <c:pt idx="14">
                  <c:v>6.2700000000000006E-2</c:v>
                </c:pt>
                <c:pt idx="15">
                  <c:v>0.1109</c:v>
                </c:pt>
                <c:pt idx="16">
                  <c:v>6.9699999999999998E-2</c:v>
                </c:pt>
                <c:pt idx="17">
                  <c:v>9.9000000000000005E-2</c:v>
                </c:pt>
                <c:pt idx="18">
                  <c:v>5.6300000000000003E-2</c:v>
                </c:pt>
                <c:pt idx="19">
                  <c:v>7.0300000000000001E-2</c:v>
                </c:pt>
                <c:pt idx="20">
                  <c:v>6.8099999999999994E-2</c:v>
                </c:pt>
                <c:pt idx="21">
                  <c:v>6.2399999999999997E-2</c:v>
                </c:pt>
                <c:pt idx="22">
                  <c:v>9.0499999999999997E-2</c:v>
                </c:pt>
              </c:numCache>
            </c:numRef>
          </c:val>
          <c:extLst>
            <c:ext xmlns:c16="http://schemas.microsoft.com/office/drawing/2014/chart" uri="{C3380CC4-5D6E-409C-BE32-E72D297353CC}">
              <c16:uniqueId val="{00000005-7854-7944-B09C-FF1789197C01}"/>
            </c:ext>
          </c:extLst>
        </c:ser>
        <c:ser>
          <c:idx val="6"/>
          <c:order val="6"/>
          <c:tx>
            <c:strRef>
              <c:f>Sheet1!$H$1</c:f>
              <c:strCache>
                <c:ptCount val="1"/>
                <c:pt idx="0">
                  <c:v>Energy</c:v>
                </c:pt>
              </c:strCache>
            </c:strRef>
          </c:tx>
          <c:spPr>
            <a:solidFill>
              <a:schemeClr val="accent2"/>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Sheet1!$H$2:$H$24</c:f>
              <c:numCache>
                <c:formatCode>0.0%</c:formatCode>
                <c:ptCount val="23"/>
                <c:pt idx="0">
                  <c:v>2.29E-2</c:v>
                </c:pt>
                <c:pt idx="1">
                  <c:v>5.8700000000000002E-2</c:v>
                </c:pt>
                <c:pt idx="2">
                  <c:v>0.14319999999999999</c:v>
                </c:pt>
                <c:pt idx="3">
                  <c:v>4.9599999999999998E-2</c:v>
                </c:pt>
                <c:pt idx="4">
                  <c:v>4.2299999999999997E-2</c:v>
                </c:pt>
                <c:pt idx="5">
                  <c:v>6.7799999999999999E-2</c:v>
                </c:pt>
                <c:pt idx="6">
                  <c:v>6.6799999999999998E-2</c:v>
                </c:pt>
                <c:pt idx="7">
                  <c:v>4.3799999999999999E-2</c:v>
                </c:pt>
                <c:pt idx="8">
                  <c:v>2.64E-2</c:v>
                </c:pt>
                <c:pt idx="9">
                  <c:v>9.9500000000000005E-2</c:v>
                </c:pt>
                <c:pt idx="10">
                  <c:v>4.4499999999999998E-2</c:v>
                </c:pt>
                <c:pt idx="11">
                  <c:v>0.1084</c:v>
                </c:pt>
                <c:pt idx="12">
                  <c:v>7.4399999999999994E-2</c:v>
                </c:pt>
                <c:pt idx="13">
                  <c:v>3.2399999999999998E-2</c:v>
                </c:pt>
                <c:pt idx="14">
                  <c:v>3.9E-2</c:v>
                </c:pt>
                <c:pt idx="15">
                  <c:v>5.8400000000000001E-2</c:v>
                </c:pt>
                <c:pt idx="16">
                  <c:v>0.1119</c:v>
                </c:pt>
                <c:pt idx="17">
                  <c:v>2.9499999999999998E-2</c:v>
                </c:pt>
                <c:pt idx="18">
                  <c:v>7.4899999999999994E-2</c:v>
                </c:pt>
                <c:pt idx="19">
                  <c:v>0.1108</c:v>
                </c:pt>
                <c:pt idx="20">
                  <c:v>2.01E-2</c:v>
                </c:pt>
                <c:pt idx="21">
                  <c:v>1.9599999999999999E-2</c:v>
                </c:pt>
                <c:pt idx="22">
                  <c:v>0.11169999999999999</c:v>
                </c:pt>
              </c:numCache>
            </c:numRef>
          </c:val>
          <c:extLst>
            <c:ext xmlns:c16="http://schemas.microsoft.com/office/drawing/2014/chart" uri="{C3380CC4-5D6E-409C-BE32-E72D297353CC}">
              <c16:uniqueId val="{00000006-7854-7944-B09C-FF1789197C01}"/>
            </c:ext>
          </c:extLst>
        </c:ser>
        <c:ser>
          <c:idx val="7"/>
          <c:order val="7"/>
          <c:tx>
            <c:strRef>
              <c:f>Sheet1!$I$1</c:f>
              <c:strCache>
                <c:ptCount val="1"/>
                <c:pt idx="0">
                  <c:v>Consumer Defensive</c:v>
                </c:pt>
              </c:strCache>
            </c:strRef>
          </c:tx>
          <c:spPr>
            <a:solidFill>
              <a:schemeClr val="accent2">
                <a:lumMod val="60000"/>
                <a:lumOff val="4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Sheet1!$I$2:$I$24</c:f>
              <c:numCache>
                <c:formatCode>0.0%</c:formatCode>
                <c:ptCount val="23"/>
                <c:pt idx="0">
                  <c:v>0.1197</c:v>
                </c:pt>
                <c:pt idx="1">
                  <c:v>3.9199999999999999E-2</c:v>
                </c:pt>
                <c:pt idx="2">
                  <c:v>5.4899999999999997E-2</c:v>
                </c:pt>
                <c:pt idx="3">
                  <c:v>3.8899999999999997E-2</c:v>
                </c:pt>
                <c:pt idx="4">
                  <c:v>0.1056</c:v>
                </c:pt>
                <c:pt idx="5">
                  <c:v>4.1599999999999998E-2</c:v>
                </c:pt>
                <c:pt idx="6">
                  <c:v>2.63E-2</c:v>
                </c:pt>
                <c:pt idx="7">
                  <c:v>0.1082</c:v>
                </c:pt>
                <c:pt idx="8">
                  <c:v>4.7300000000000002E-2</c:v>
                </c:pt>
                <c:pt idx="9">
                  <c:v>2.52E-2</c:v>
                </c:pt>
                <c:pt idx="10">
                  <c:v>5.5500000000000001E-2</c:v>
                </c:pt>
                <c:pt idx="11">
                  <c:v>3.6999999999999998E-2</c:v>
                </c:pt>
                <c:pt idx="12">
                  <c:v>5.8900000000000001E-2</c:v>
                </c:pt>
                <c:pt idx="13">
                  <c:v>7.9699999999999993E-2</c:v>
                </c:pt>
                <c:pt idx="14">
                  <c:v>6.9199999999999998E-2</c:v>
                </c:pt>
                <c:pt idx="15">
                  <c:v>8.09E-2</c:v>
                </c:pt>
                <c:pt idx="16">
                  <c:v>6.5100000000000005E-2</c:v>
                </c:pt>
                <c:pt idx="17">
                  <c:v>5.1700000000000003E-2</c:v>
                </c:pt>
                <c:pt idx="18">
                  <c:v>9.64E-2</c:v>
                </c:pt>
                <c:pt idx="19">
                  <c:v>7.7700000000000005E-2</c:v>
                </c:pt>
                <c:pt idx="20">
                  <c:v>5.2699999999999997E-2</c:v>
                </c:pt>
                <c:pt idx="21">
                  <c:v>4.0800000000000003E-2</c:v>
                </c:pt>
                <c:pt idx="22">
                  <c:v>4.1500000000000002E-2</c:v>
                </c:pt>
              </c:numCache>
            </c:numRef>
          </c:val>
          <c:extLst>
            <c:ext xmlns:c16="http://schemas.microsoft.com/office/drawing/2014/chart" uri="{C3380CC4-5D6E-409C-BE32-E72D297353CC}">
              <c16:uniqueId val="{00000007-7854-7944-B09C-FF1789197C01}"/>
            </c:ext>
          </c:extLst>
        </c:ser>
        <c:ser>
          <c:idx val="8"/>
          <c:order val="8"/>
          <c:tx>
            <c:strRef>
              <c:f>Sheet1!$J$1</c:f>
              <c:strCache>
                <c:ptCount val="1"/>
                <c:pt idx="0">
                  <c:v>Real Estate</c:v>
                </c:pt>
              </c:strCache>
            </c:strRef>
          </c:tx>
          <c:spPr>
            <a:solidFill>
              <a:schemeClr val="accent2">
                <a:lumMod val="40000"/>
                <a:lumOff val="6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Sheet1!$J$2:$J$24</c:f>
              <c:numCache>
                <c:formatCode>0.0%</c:formatCode>
                <c:ptCount val="23"/>
                <c:pt idx="0">
                  <c:v>1.3899999999999999E-2</c:v>
                </c:pt>
                <c:pt idx="1">
                  <c:v>4.4499999999999998E-2</c:v>
                </c:pt>
                <c:pt idx="2">
                  <c:v>4.6199999999999998E-2</c:v>
                </c:pt>
                <c:pt idx="3">
                  <c:v>9.3700000000000006E-2</c:v>
                </c:pt>
                <c:pt idx="4">
                  <c:v>9.1200000000000003E-2</c:v>
                </c:pt>
                <c:pt idx="5">
                  <c:v>6.2399999999999997E-2</c:v>
                </c:pt>
                <c:pt idx="6">
                  <c:v>4.1799999999999997E-2</c:v>
                </c:pt>
                <c:pt idx="7">
                  <c:v>4.0800000000000003E-2</c:v>
                </c:pt>
                <c:pt idx="8">
                  <c:v>0.2069</c:v>
                </c:pt>
                <c:pt idx="9">
                  <c:v>7.0000000000000001E-3</c:v>
                </c:pt>
                <c:pt idx="10">
                  <c:v>0.09</c:v>
                </c:pt>
                <c:pt idx="11">
                  <c:v>4.5600000000000002E-2</c:v>
                </c:pt>
                <c:pt idx="12">
                  <c:v>4.1700000000000001E-2</c:v>
                </c:pt>
                <c:pt idx="13">
                  <c:v>3.4799999999999998E-2</c:v>
                </c:pt>
                <c:pt idx="14">
                  <c:v>7.0000000000000001E-3</c:v>
                </c:pt>
                <c:pt idx="15">
                  <c:v>3.1699999999999999E-2</c:v>
                </c:pt>
                <c:pt idx="16">
                  <c:v>4.1099999999999998E-2</c:v>
                </c:pt>
                <c:pt idx="17">
                  <c:v>4.4200000000000003E-2</c:v>
                </c:pt>
                <c:pt idx="18">
                  <c:v>3.2300000000000002E-2</c:v>
                </c:pt>
                <c:pt idx="19">
                  <c:v>5.91E-2</c:v>
                </c:pt>
                <c:pt idx="20">
                  <c:v>3.5499999999999997E-2</c:v>
                </c:pt>
                <c:pt idx="21">
                  <c:v>8.3099999999999993E-2</c:v>
                </c:pt>
                <c:pt idx="22">
                  <c:v>4.2099999999999999E-2</c:v>
                </c:pt>
              </c:numCache>
            </c:numRef>
          </c:val>
          <c:extLst>
            <c:ext xmlns:c16="http://schemas.microsoft.com/office/drawing/2014/chart" uri="{C3380CC4-5D6E-409C-BE32-E72D297353CC}">
              <c16:uniqueId val="{00000008-7854-7944-B09C-FF1789197C01}"/>
            </c:ext>
          </c:extLst>
        </c:ser>
        <c:ser>
          <c:idx val="9"/>
          <c:order val="9"/>
          <c:tx>
            <c:strRef>
              <c:f>Sheet1!$K$1</c:f>
              <c:strCache>
                <c:ptCount val="1"/>
                <c:pt idx="0">
                  <c:v>Communication Services</c:v>
                </c:pt>
              </c:strCache>
            </c:strRef>
          </c:tx>
          <c:spPr>
            <a:solidFill>
              <a:schemeClr val="accent2">
                <a:lumMod val="20000"/>
                <a:lumOff val="8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Sheet1!$K$2:$K$24</c:f>
              <c:numCache>
                <c:formatCode>0.0%</c:formatCode>
                <c:ptCount val="23"/>
                <c:pt idx="0">
                  <c:v>4.7199999999999999E-2</c:v>
                </c:pt>
                <c:pt idx="1">
                  <c:v>3.9100000000000003E-2</c:v>
                </c:pt>
                <c:pt idx="2">
                  <c:v>3.5099999999999999E-2</c:v>
                </c:pt>
                <c:pt idx="3">
                  <c:v>1.83E-2</c:v>
                </c:pt>
                <c:pt idx="4">
                  <c:v>1.8700000000000001E-2</c:v>
                </c:pt>
                <c:pt idx="5">
                  <c:v>5.3999999999999999E-2</c:v>
                </c:pt>
                <c:pt idx="6">
                  <c:v>8.3999999999999995E-3</c:v>
                </c:pt>
                <c:pt idx="7">
                  <c:v>2.53E-2</c:v>
                </c:pt>
                <c:pt idx="8">
                  <c:v>1.8499999999999999E-2</c:v>
                </c:pt>
                <c:pt idx="9">
                  <c:v>7.7100000000000002E-2</c:v>
                </c:pt>
                <c:pt idx="10">
                  <c:v>3.3000000000000002E-2</c:v>
                </c:pt>
                <c:pt idx="11">
                  <c:v>2.7400000000000001E-2</c:v>
                </c:pt>
                <c:pt idx="12">
                  <c:v>3.9899999999999998E-2</c:v>
                </c:pt>
                <c:pt idx="13">
                  <c:v>6.8500000000000005E-2</c:v>
                </c:pt>
                <c:pt idx="14">
                  <c:v>0.02</c:v>
                </c:pt>
                <c:pt idx="15">
                  <c:v>2.6200000000000001E-2</c:v>
                </c:pt>
                <c:pt idx="16">
                  <c:v>3.5400000000000001E-2</c:v>
                </c:pt>
                <c:pt idx="17">
                  <c:v>3.04E-2</c:v>
                </c:pt>
                <c:pt idx="18">
                  <c:v>4.2299999999999997E-2</c:v>
                </c:pt>
                <c:pt idx="19">
                  <c:v>5.8500000000000003E-2</c:v>
                </c:pt>
                <c:pt idx="20">
                  <c:v>5.1999999999999998E-2</c:v>
                </c:pt>
                <c:pt idx="21">
                  <c:v>8.0999999999999996E-3</c:v>
                </c:pt>
                <c:pt idx="22">
                  <c:v>5.4999999999999997E-3</c:v>
                </c:pt>
              </c:numCache>
            </c:numRef>
          </c:val>
          <c:extLst>
            <c:ext xmlns:c16="http://schemas.microsoft.com/office/drawing/2014/chart" uri="{C3380CC4-5D6E-409C-BE32-E72D297353CC}">
              <c16:uniqueId val="{00000009-7854-7944-B09C-FF1789197C01}"/>
            </c:ext>
          </c:extLst>
        </c:ser>
        <c:ser>
          <c:idx val="10"/>
          <c:order val="10"/>
          <c:tx>
            <c:strRef>
              <c:f>Sheet1!$L$1</c:f>
              <c:strCache>
                <c:ptCount val="1"/>
                <c:pt idx="0">
                  <c:v>Utilities</c:v>
                </c:pt>
              </c:strCache>
            </c:strRef>
          </c:tx>
          <c:spPr>
            <a:solidFill>
              <a:schemeClr val="accent4">
                <a:lumMod val="20000"/>
                <a:lumOff val="8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Sheet1!$L$2:$L$24</c:f>
              <c:numCache>
                <c:formatCode>0.0%</c:formatCode>
                <c:ptCount val="23"/>
                <c:pt idx="0">
                  <c:v>1.89E-2</c:v>
                </c:pt>
                <c:pt idx="1">
                  <c:v>1.6299999999999999E-2</c:v>
                </c:pt>
                <c:pt idx="2">
                  <c:v>6.4999999999999997E-3</c:v>
                </c:pt>
                <c:pt idx="3">
                  <c:v>5.3999999999999999E-2</c:v>
                </c:pt>
                <c:pt idx="4">
                  <c:v>6.6199999999999995E-2</c:v>
                </c:pt>
                <c:pt idx="5">
                  <c:v>4.53E-2</c:v>
                </c:pt>
                <c:pt idx="6">
                  <c:v>4.2000000000000003E-2</c:v>
                </c:pt>
                <c:pt idx="7">
                  <c:v>1.7600000000000001E-2</c:v>
                </c:pt>
                <c:pt idx="8">
                  <c:v>8.0100000000000005E-2</c:v>
                </c:pt>
                <c:pt idx="9">
                  <c:v>1.21E-2</c:v>
                </c:pt>
                <c:pt idx="10">
                  <c:v>1.04E-2</c:v>
                </c:pt>
                <c:pt idx="11">
                  <c:v>5.0799999999999998E-2</c:v>
                </c:pt>
                <c:pt idx="12">
                  <c:v>1.72E-2</c:v>
                </c:pt>
                <c:pt idx="13">
                  <c:v>1.0699999999999999E-2</c:v>
                </c:pt>
                <c:pt idx="14">
                  <c:v>8.6E-3</c:v>
                </c:pt>
                <c:pt idx="15">
                  <c:v>3.2500000000000001E-2</c:v>
                </c:pt>
                <c:pt idx="16">
                  <c:v>8.8999999999999999E-3</c:v>
                </c:pt>
                <c:pt idx="17">
                  <c:v>1.61E-2</c:v>
                </c:pt>
                <c:pt idx="18">
                  <c:v>1.26E-2</c:v>
                </c:pt>
                <c:pt idx="19">
                  <c:v>1.4800000000000001E-2</c:v>
                </c:pt>
                <c:pt idx="20">
                  <c:v>1.8E-3</c:v>
                </c:pt>
                <c:pt idx="21">
                  <c:v>1.0800000000000001E-2</c:v>
                </c:pt>
                <c:pt idx="22">
                  <c:v>1.9300000000000001E-2</c:v>
                </c:pt>
              </c:numCache>
            </c:numRef>
          </c:val>
          <c:extLst>
            <c:ext xmlns:c16="http://schemas.microsoft.com/office/drawing/2014/chart" uri="{C3380CC4-5D6E-409C-BE32-E72D297353CC}">
              <c16:uniqueId val="{0000000A-7854-7944-B09C-FF1789197C01}"/>
            </c:ext>
          </c:extLst>
        </c:ser>
        <c:dLbls>
          <c:showLegendKey val="0"/>
          <c:showVal val="0"/>
          <c:showCatName val="0"/>
          <c:showSerName val="0"/>
          <c:showPercent val="0"/>
          <c:showBubbleSize val="0"/>
        </c:dLbls>
        <c:gapWidth val="0"/>
        <c:overlap val="100"/>
        <c:axId val="2131456991"/>
        <c:axId val="2131410991"/>
      </c:barChart>
      <c:catAx>
        <c:axId val="21314569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mn-cs"/>
              </a:defRPr>
            </a:pPr>
            <a:endParaRPr lang="en-US"/>
          </a:p>
        </c:txPr>
        <c:crossAx val="2131410991"/>
        <c:crosses val="autoZero"/>
        <c:auto val="1"/>
        <c:lblAlgn val="ctr"/>
        <c:lblOffset val="100"/>
        <c:noMultiLvlLbl val="0"/>
      </c:catAx>
      <c:valAx>
        <c:axId val="2131410991"/>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2131456991"/>
        <c:crosses val="autoZero"/>
        <c:crossBetween val="between"/>
      </c:valAx>
      <c:spPr>
        <a:noFill/>
        <a:ln>
          <a:noFill/>
        </a:ln>
        <a:effectLst/>
      </c:spPr>
    </c:plotArea>
    <c:legend>
      <c:legendPos val="b"/>
      <c:legendEntry>
        <c:idx val="8"/>
        <c:txPr>
          <a:bodyPr rot="0" spcFirstLastPara="1" vertOverflow="ellipsis" vert="horz" wrap="square" anchor="ctr" anchorCtr="1"/>
          <a:lstStyle/>
          <a:p>
            <a:pPr>
              <a:defRPr sz="800" b="0" i="0" u="none" strike="noStrike" kern="1200" baseline="0">
                <a:solidFill>
                  <a:schemeClr val="tx1"/>
                </a:solidFill>
                <a:latin typeface="SF COMPACT LIGHT" panose="020B0A04030202060204" pitchFamily="34" charset="77"/>
                <a:ea typeface="+mn-ea"/>
                <a:cs typeface="+mn-cs"/>
              </a:defRPr>
            </a:pPr>
            <a:endParaRPr lang="en-US"/>
          </a:p>
        </c:txPr>
      </c:legendEntry>
      <c:layout>
        <c:manualLayout>
          <c:xMode val="edge"/>
          <c:yMode val="edge"/>
          <c:x val="0"/>
          <c:y val="0.79469006619320692"/>
          <c:w val="1"/>
          <c:h val="0.2039458550827213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SF COMPACT LIGHT" panose="020B0A04030202060204" pitchFamily="34"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tx1"/>
          </a:solidFill>
          <a:latin typeface="SF COMPACT LIGHT" panose="020B0A04030202060204" pitchFamily="34" charset="77"/>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2">
      <a:dk1>
        <a:srgbClr val="000000"/>
      </a:dk1>
      <a:lt1>
        <a:srgbClr val="FFFFFF"/>
      </a:lt1>
      <a:dk2>
        <a:srgbClr val="FFFFFF"/>
      </a:dk2>
      <a:lt2>
        <a:srgbClr val="E2E2E2"/>
      </a:lt2>
      <a:accent1>
        <a:srgbClr val="F45052"/>
      </a:accent1>
      <a:accent2>
        <a:srgbClr val="3773FF"/>
      </a:accent2>
      <a:accent3>
        <a:srgbClr val="FFE130"/>
      </a:accent3>
      <a:accent4>
        <a:srgbClr val="CD64FF"/>
      </a:accent4>
      <a:accent5>
        <a:srgbClr val="00C181"/>
      </a:accent5>
      <a:accent6>
        <a:srgbClr val="399000"/>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Kersting</dc:creator>
  <cp:keywords/>
  <dc:description/>
  <cp:lastModifiedBy>Jack Kersting</cp:lastModifiedBy>
  <cp:revision>3</cp:revision>
  <dcterms:created xsi:type="dcterms:W3CDTF">2024-04-11T22:48:00Z</dcterms:created>
  <dcterms:modified xsi:type="dcterms:W3CDTF">2024-04-11T22:52:00Z</dcterms:modified>
</cp:coreProperties>
</file>