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b/>
          <w:bCs/>
          <w:color w:val="7C4DFF"/>
          <w:sz w:val="56"/>
          <w:szCs w:val="56"/>
        </w:rPr>
        <w:t xml:space="preserve">VENTAGO</w:t>
      </w:r>
    </w:p>
    <w:p>
      <w:pPr>
        <w:spacing w:after="240"/>
        <w:jc w:val="center"/>
      </w:pPr>
      <w:r>
        <w:rPr>
          <w:color w:val="666666"/>
          <w:sz w:val="22"/>
          <w:szCs w:val="22"/>
        </w:rPr>
        <w:t xml:space="preserve">POS / ERP — Gestión de Talleres</w:t>
      </w:r>
    </w:p>
    <w:p>
      <w:pPr>
        <w:spacing w:after="120" w:before="800"/>
        <w:jc w:val="center"/>
      </w:pPr>
      <w:r>
        <w:rPr>
          <w:b/>
          <w:bCs/>
          <w:color w:val="222222"/>
          <w:sz w:val="44"/>
          <w:szCs w:val="44"/>
        </w:rPr>
        <w:t xml:space="preserve">Lista de Verificación Integral</w:t>
      </w:r>
    </w:p>
    <w:p>
      <w:pPr>
        <w:spacing w:after="120"/>
        <w:jc w:val="center"/>
      </w:pPr>
      <w:r>
        <w:rPr>
          <w:color w:val="444444"/>
          <w:sz w:val="28"/>
          <w:szCs w:val="28"/>
        </w:rPr>
        <w:t xml:space="preserve">Módulo Talleres — Panel de Control</w:t>
      </w:r>
    </w:p>
    <w:p>
      <w:pPr>
        <w:spacing w:after="80" w:before="2400"/>
        <w:jc w:val="center"/>
      </w:pPr>
      <w:r>
        <w:rPr>
          <w:i/>
          <w:iCs/>
          <w:color w:val="555555"/>
          <w:sz w:val="22"/>
          <w:szCs w:val="22"/>
        </w:rPr>
        <w:t xml:space="preserve">Dirigido a: Encargado de tienda</w:t>
      </w:r>
    </w:p>
    <w:p>
      <w:pPr>
        <w:jc w:val="center"/>
      </w:pPr>
      <w:r>
        <w:rPr>
          <w:i/>
          <w:iCs/>
          <w:color w:val="555555"/>
          <w:sz w:val="22"/>
          <w:szCs w:val="22"/>
        </w:rPr>
        <w:t xml:space="preserve">Alcance: Operación + Verificación técnica</w:t>
      </w:r>
    </w:p>
    <w:p>
      <w:pPr>
        <w:spacing w:before="200"/>
        <w:jc w:val="center"/>
      </w:pPr>
      <w:r>
        <w:rPr>
          <w:i/>
          <w:iCs/>
          <w:color w:val="555555"/>
          <w:sz w:val="22"/>
          <w:szCs w:val="22"/>
        </w:rPr>
        <w:t xml:space="preserve">Fecha de emisión: 24 de abril de 2026</w:t>
      </w:r>
    </w:p>
    <w:p>
      <w:r>
        <w:br w:type="page"/>
      </w:r>
    </w:p>
    <w:p>
      <w:pPr>
        <w:pStyle w:val="Heading1"/>
        <w:spacing w:after="160" w:before="320"/>
      </w:pPr>
      <w:r>
        <w:rPr>
          <w:b/>
          <w:bCs/>
          <w:color w:val="7C4DFF"/>
          <w:sz w:val="32"/>
          <w:szCs w:val="32"/>
        </w:rPr>
        <w:t xml:space="preserve">1. Introducción y uso de esta lista</w:t>
      </w:r>
    </w:p>
    <w:p>
      <w:pPr>
        <w:spacing w:after="160"/>
      </w:pPr>
      <w:r>
        <w:t xml:space="preserve">Esta lista de verificación ha sido diseñada para el encargado de tienda responsable del módulo Talleres (gestión de subcontratistas) dentro del sistema Ventago. Su propósito es garantizar que las operaciones diarias del panel de control se ejecuten de forma ordenada, que los datos registrados sean confiables, y que se detecten problemas técnicos o de flujo antes de que afecten la producción.</w:t>
      </w:r>
    </w:p>
    <w:p>
      <w:pPr>
        <w:pStyle w:val="Heading3"/>
        <w:spacing w:after="80" w:before="160"/>
      </w:pPr>
      <w:r>
        <w:rPr>
          <w:b/>
          <w:bCs/>
          <w:color w:val="555555"/>
          <w:sz w:val="22"/>
          <w:szCs w:val="22"/>
        </w:rPr>
        <w:t xml:space="preserve">Cómo utilizar este documento</w:t>
      </w:r>
    </w:p>
    <w:p>
      <w:pPr>
        <w:spacing w:after="60"/>
        <w:ind w:left="360"/>
      </w:pPr>
      <w:r>
        <w:rPr>
          <w:b/>
          <w:bCs/>
          <w:sz w:val="22"/>
          <w:szCs w:val="22"/>
        </w:rPr>
        <w:t xml:space="preserve">☐  </w:t>
      </w:r>
      <w:r>
        <w:rPr>
          <w:sz w:val="22"/>
          <w:szCs w:val="22"/>
        </w:rPr>
        <w:t xml:space="preserve">Marque cada ítem a medida que lo verifique. Use las columnas de Frecuencia y Responsable como guía.</w:t>
      </w:r>
    </w:p>
    <w:p>
      <w:pPr>
        <w:spacing w:after="60"/>
        <w:ind w:left="360"/>
      </w:pPr>
      <w:r>
        <w:rPr>
          <w:b/>
          <w:bCs/>
          <w:sz w:val="22"/>
          <w:szCs w:val="22"/>
        </w:rPr>
        <w:t xml:space="preserve">☐  </w:t>
      </w:r>
      <w:r>
        <w:rPr>
          <w:sz w:val="22"/>
          <w:szCs w:val="22"/>
        </w:rPr>
        <w:t xml:space="preserve">Los ítems marcados como «Diaria» deben completarse al iniciar y cerrar la jornada.</w:t>
      </w:r>
    </w:p>
    <w:p>
      <w:pPr>
        <w:spacing w:after="60"/>
        <w:ind w:left="360"/>
      </w:pPr>
      <w:r>
        <w:rPr>
          <w:b/>
          <w:bCs/>
          <w:sz w:val="22"/>
          <w:szCs w:val="22"/>
        </w:rPr>
        <w:t xml:space="preserve">☐  </w:t>
      </w:r>
      <w:r>
        <w:rPr>
          <w:sz w:val="22"/>
          <w:szCs w:val="22"/>
        </w:rPr>
        <w:t xml:space="preserve">Ante cualquier anomalía, registre la observación y escale al coordinador o soporte técnico.</w:t>
      </w:r>
    </w:p>
    <w:p>
      <w:pPr>
        <w:spacing w:after="60"/>
        <w:ind w:left="360"/>
      </w:pPr>
      <w:r>
        <w:rPr>
          <w:b/>
          <w:bCs/>
          <w:sz w:val="22"/>
          <w:szCs w:val="22"/>
        </w:rPr>
        <w:t xml:space="preserve">☐  </w:t>
      </w:r>
      <w:r>
        <w:rPr>
          <w:sz w:val="22"/>
          <w:szCs w:val="22"/>
        </w:rPr>
        <w:t xml:space="preserve">Conserve el archivo firmado como registro de control interno durante al menos 30 días.</w:t>
      </w:r>
    </w:p>
    <w:p>
      <w:pPr>
        <w:pStyle w:val="Heading3"/>
        <w:spacing w:after="80" w:before="160"/>
      </w:pPr>
      <w:r>
        <w:rPr>
          <w:b/>
          <w:bCs/>
          <w:color w:val="555555"/>
          <w:sz w:val="22"/>
          <w:szCs w:val="22"/>
        </w:rPr>
        <w:t xml:space="preserve">Pestañas del Panel de Talleres cubiertas</w:t>
      </w:r>
    </w:p>
    <w:p>
      <w:pPr>
        <w:spacing w:after="120"/>
      </w:pPr>
      <w:r>
        <w:t xml:space="preserve">El módulo incluye las siguientes pestañas principales (Overview, Pipeline, Lotes, Cut Ticket, Cost Sheet, Talleres, Envíos, Reworks, Liquidaciones, Etapas). Esta lista cubre los controles operativos y técnicos de cada una.</w:t>
      </w:r>
    </w:p>
    <w:p>
      <w:r>
        <w:br w:type="page"/>
      </w:r>
    </w:p>
    <w:p>
      <w:pPr>
        <w:pStyle w:val="Heading1"/>
        <w:spacing w:after="160" w:before="320"/>
      </w:pPr>
      <w:r>
        <w:rPr>
          <w:b/>
          <w:bCs/>
          <w:color w:val="7C4DFF"/>
          <w:sz w:val="32"/>
          <w:szCs w:val="32"/>
        </w:rPr>
        <w:t xml:space="preserve">2. Apertura diaria del panel de Talleres</w:t>
      </w:r>
    </w:p>
    <w:p>
      <w:pPr>
        <w:spacing w:after="160"/>
      </w:pPr>
      <w:r>
        <w:t xml:space="preserve">Ejecute estas verificaciones al inicio de la jornada, antes de autorizar cualquier envío, recepción o liquidación.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Acceso al sistema con sesión válida (sin mensaje «SESSION_EXPIRED»).</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Verificar token activo</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Sucursal correcta seleccionada en el selector de Branch.</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Evita cruces de datos</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Indicador de conexión WebSocket activo (agentes de impresión en línea).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Print-agent / Zebra</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Overview carga sin errores y muestra KPIs del día.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Si falla, F5 y revisar red</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Badge de Envíos vencidos (overdueEnvios) revisado.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Tomar acción si &gt; 0</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Número de Lotes abiertos coincide con el reporte físico.</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Cuadrar antes de operar</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No hay alertas rojas en la pestaña Pipeline.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Reloj del sistema y fecha correctos (afecta registros).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bl>
    <w:p>
      <w:pPr>
        <w:pStyle w:val="Heading1"/>
        <w:spacing w:after="160" w:before="320"/>
      </w:pPr>
      <w:r>
        <w:rPr>
          <w:b/>
          <w:bCs/>
          <w:color w:val="7C4DFF"/>
          <w:sz w:val="32"/>
          <w:szCs w:val="32"/>
        </w:rPr>
        <w:t xml:space="preserve">3. Overview y Pipeline</w:t>
      </w:r>
    </w:p>
    <w:p>
      <w:pPr>
        <w:pStyle w:val="Heading2"/>
        <w:spacing w:after="120" w:before="240"/>
      </w:pPr>
      <w:r>
        <w:rPr>
          <w:b/>
          <w:bCs/>
          <w:color w:val="333333"/>
          <w:sz w:val="26"/>
          <w:szCs w:val="26"/>
        </w:rPr>
        <w:t xml:space="preserve">3.1 Overview — KPIs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Total de unidades en talleres refleja el movimiento real.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Cruzar con hoja física</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Distribución por vendor coincide con órdenes activas.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Gráfico de tendencia no muestra caídas abruptas sin causa.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Investigar si baja &gt; 30%</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Filtro de rango de fechas aplicado correctamente.</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bl>
    <w:p>
      <w:pPr>
        <w:pStyle w:val="Heading2"/>
        <w:spacing w:after="120" w:before="240"/>
      </w:pPr>
      <w:r>
        <w:rPr>
          <w:b/>
          <w:bCs/>
          <w:color w:val="333333"/>
          <w:sz w:val="26"/>
          <w:szCs w:val="26"/>
        </w:rPr>
        <w:t xml:space="preserve">3.2 Pipeline — Tablero Kanban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Todas las columnas (Pendiente, En Proceso, Completado) cargan datos.</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No hay tarjetas duplicadas entre columnas.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Síntoma de desincronización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Tarjetas antiguas (&gt;15 días sin mover) identificadas y revisadas.</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Escalar al coordinador</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Movimientos drag-and-drop se guardan correctamente (sin reversión).</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bl>
    <w:p>
      <w:pPr>
        <w:pStyle w:val="Heading1"/>
        <w:spacing w:after="160" w:before="320"/>
      </w:pPr>
      <w:r>
        <w:rPr>
          <w:b/>
          <w:bCs/>
          <w:color w:val="7C4DFF"/>
          <w:sz w:val="32"/>
          <w:szCs w:val="32"/>
        </w:rPr>
        <w:t xml:space="preserve">4. Lotes (Lotes de producción)</w:t>
      </w:r>
    </w:p>
    <w:p>
      <w:pPr>
        <w:spacing w:after="160"/>
      </w:pPr>
      <w:r>
        <w:t xml:space="preserve">El lote es la unidad básica de trabajo. Toda Cut Ticket, envío y liquidación se asocia a un lote.</w:t>
      </w:r>
    </w:p>
    <w:p>
      <w:pPr>
        <w:pStyle w:val="Heading2"/>
        <w:spacing w:after="120" w:before="240"/>
      </w:pPr>
      <w:r>
        <w:rPr>
          <w:b/>
          <w:bCs/>
          <w:color w:val="333333"/>
          <w:sz w:val="26"/>
          <w:szCs w:val="26"/>
        </w:rPr>
        <w:t xml:space="preserve">4.1 Creación y edición de lotes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Nombre del lote es único y sigue la convención de la tienda.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lote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Ej: LOTE-2026-04-001</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Producto madre y variantes asignados correctamente.</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lote</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Cantidades por talla/color suman el total declarado.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lote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Validación crítica</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Fecha estimada de entrega dentro de rango razonable.</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lote</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Estado inicial del lote es «Abierto» (OPEN).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lote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bl>
    <w:p>
      <w:pPr>
        <w:pStyle w:val="Heading2"/>
        <w:spacing w:after="120" w:before="240"/>
      </w:pPr>
      <w:r>
        <w:rPr>
          <w:b/>
          <w:bCs/>
          <w:color w:val="333333"/>
          <w:sz w:val="26"/>
          <w:szCs w:val="26"/>
        </w:rPr>
        <w:t xml:space="preserve">4.2 Control de lotes en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Lotes en estado «En Proceso» tienen al menos un envío registrado.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Lotes «Parcial» tienen justificación de unidades faltantes.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Lotes cerrados tienen todas las liquidaciones completadas.</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No existen lotes «fantasma» (sin producto o vendor).</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Eliminar o corregir</w:t>
            </w:r>
          </w:p>
        </w:tc>
      </w:tr>
    </w:tbl>
    <w:p>
      <w:pPr>
        <w:pStyle w:val="Heading1"/>
        <w:spacing w:after="160" w:before="320"/>
      </w:pPr>
      <w:r>
        <w:rPr>
          <w:b/>
          <w:bCs/>
          <w:color w:val="7C4DFF"/>
          <w:sz w:val="32"/>
          <w:szCs w:val="32"/>
        </w:rPr>
        <w:t xml:space="preserve">5. Cut Ticket (Ticket de 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El Cut Ticket se emite con el lote correcto asociado.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ticket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Impresión térmica se ejecuta sin errores (agente en línea).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ticket</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Comandera</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Código de barras / QR legible en la impresión.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ticket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Cantidad impresa coincide con el corte físico entregado.</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ticket</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Ticket duplicado se reimprime solo con aprobación.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evento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Evitar fraude</w:t>
            </w:r>
          </w:p>
        </w:tc>
      </w:tr>
    </w:tbl>
    <w:p>
      <w:pPr>
        <w:pStyle w:val="Heading1"/>
        <w:spacing w:after="160" w:before="320"/>
      </w:pPr>
      <w:r>
        <w:rPr>
          <w:b/>
          <w:bCs/>
          <w:color w:val="7C4DFF"/>
          <w:sz w:val="32"/>
          <w:szCs w:val="32"/>
        </w:rPr>
        <w:t xml:space="preserve">6. Cost Sheet (Hoja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Todos los componentes del BOM están registrados con precio unitario.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lote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Costos de mano de obra por etapa definidos.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lote</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Costo total por unidad calculado y dentro del margen esperado.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lote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Alertar si &gt; 10% desviación</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Moneda y tipo de cambio correctos (si aplica).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lote</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Cost Sheet aprobada antes de iniciar producción.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lote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Firma digital</w:t>
            </w:r>
          </w:p>
        </w:tc>
      </w:tr>
    </w:tbl>
    <w:p>
      <w:pPr>
        <w:pStyle w:val="Heading1"/>
        <w:spacing w:after="160" w:before="320"/>
      </w:pPr>
      <w:r>
        <w:rPr>
          <w:b/>
          <w:bCs/>
          <w:color w:val="7C4DFF"/>
          <w:sz w:val="32"/>
          <w:szCs w:val="32"/>
        </w:rPr>
        <w:t xml:space="preserve">7. Talleres (Subcontratistas / Vendors)</w:t>
      </w:r>
    </w:p>
    <w:p>
      <w:pPr>
        <w:pStyle w:val="Heading2"/>
        <w:spacing w:after="120" w:before="240"/>
      </w:pPr>
      <w:r>
        <w:rPr>
          <w:b/>
          <w:bCs/>
          <w:color w:val="333333"/>
          <w:sz w:val="26"/>
          <w:szCs w:val="26"/>
        </w:rPr>
        <w:t xml:space="preserve">7.1 Registro y datos del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Datos fiscales del taller actualizados (RUC/NIT, dirección).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Mensual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Contacto principal y teléfono verificados.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Mensual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Etapas habilitadas para el taller corresponden a su capacidad real.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Mensual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Tarifas por etapa y por producto vigentes.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Mensual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Revisar con Admin</w:t>
            </w:r>
          </w:p>
        </w:tc>
      </w:tr>
    </w:tbl>
    <w:p>
      <w:pPr>
        <w:pStyle w:val="Heading2"/>
        <w:spacing w:after="120" w:before="240"/>
      </w:pPr>
      <w:r>
        <w:rPr>
          <w:b/>
          <w:bCs/>
          <w:color w:val="333333"/>
          <w:sz w:val="26"/>
          <w:szCs w:val="26"/>
        </w:rPr>
        <w:t xml:space="preserve">7.2 Desempeño del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Tasa de defectos del taller bajo umbral definido.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Ver QC-Items</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Tiempo promedio de proceso dentro del SLA.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Saldo pendiente de liquidación revisado.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Talleres inactivos &gt;60 días marcados como tal.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Mensual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bl>
    <w:p>
      <w:pPr>
        <w:pStyle w:val="Heading1"/>
        <w:spacing w:after="160" w:before="320"/>
      </w:pPr>
      <w:r>
        <w:rPr>
          <w:b/>
          <w:bCs/>
          <w:color w:val="7C4DFF"/>
          <w:sz w:val="32"/>
          <w:szCs w:val="32"/>
        </w:rPr>
        <w:t xml:space="preserve">8. Envíos (Envíos al taller y recepciones)</w:t>
      </w:r>
    </w:p>
    <w:p>
      <w:pPr>
        <w:pStyle w:val="Heading2"/>
        <w:spacing w:after="120" w:before="240"/>
      </w:pPr>
      <w:r>
        <w:rPr>
          <w:b/>
          <w:bCs/>
          <w:color w:val="333333"/>
          <w:sz w:val="26"/>
          <w:szCs w:val="26"/>
        </w:rPr>
        <w:t xml:space="preserve">8.1 Envíos salientes (tienda →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Guía de envío generada con lote, vendor y etapa correctos.</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envío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Cantidades por talla/color validadas antes de empacar.</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envío</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Fecha de salida y responsable del transporte registrados.</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envío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Impresión de etiqueta Zebra correcta (ZPL sin errores).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envío</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Zebra-agent</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Confirmación de entrega registrada en sistema.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envío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bl>
    <w:p>
      <w:pPr>
        <w:pStyle w:val="Heading2"/>
        <w:spacing w:after="120" w:before="240"/>
      </w:pPr>
      <w:r>
        <w:rPr>
          <w:b/>
          <w:bCs/>
          <w:color w:val="333333"/>
          <w:sz w:val="26"/>
          <w:szCs w:val="26"/>
        </w:rPr>
        <w:t xml:space="preserve">8.2 Recepciones (taller → tienda)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Recepción física cruzada contra envío original.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recepción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QC obligatorio</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Unidades con defecto clasificadas con código de defecto.</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recepción</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defect-codes</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Reworks generados automáticamente para defectos recuperables.</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recepción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Envíos vencidos (overdue) escalados al coordinador.</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bl>
    <w:p>
      <w:pPr>
        <w:pStyle w:val="Heading1"/>
        <w:spacing w:after="160" w:before="320"/>
      </w:pPr>
      <w:r>
        <w:rPr>
          <w:b/>
          <w:bCs/>
          <w:color w:val="7C4DFF"/>
          <w:sz w:val="32"/>
          <w:szCs w:val="32"/>
        </w:rPr>
        <w:t xml:space="preserve">9. Reworks (Órdenes de reproceso)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Cada rework tiene motivo y código de defecto asociado.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rework</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Rework asignado al taller responsable del defecto.</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rework</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Cantidad de rework no excede cantidad del envío original.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rework</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Reworks pendientes &gt;7 días escalados.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Costo del rework cargado al taller cuando corresponde.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rework</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Política interna</w:t>
            </w:r>
          </w:p>
        </w:tc>
      </w:tr>
    </w:tbl>
    <w:p>
      <w:pPr>
        <w:pStyle w:val="Heading1"/>
        <w:spacing w:after="160" w:before="320"/>
      </w:pPr>
      <w:r>
        <w:rPr>
          <w:b/>
          <w:bCs/>
          <w:color w:val="7C4DFF"/>
          <w:sz w:val="32"/>
          <w:szCs w:val="32"/>
        </w:rPr>
        <w:t xml:space="preserve">10. Liquidaciones (Pagos a talleres)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Unidades liquidadas coinciden con recepciones aprobadas por QC.</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liquidación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Crítico</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Tarifa aplicada corresponde a la vigente en la fecha del servicio.</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liquidación</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Deducciones por defectos o reworks aplicadas correctamente.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liquidación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Total a pagar aprobado antes de emitir comprobante.</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Por liquidación</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Doble firma</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Comprobante archivado y referenciado en el sistema.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Por liquidación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Saldos por taller conciliados mensualmente.</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Mensual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Con contabilidad</w:t>
            </w:r>
          </w:p>
        </w:tc>
      </w:tr>
    </w:tbl>
    <w:p>
      <w:pPr>
        <w:pStyle w:val="Heading1"/>
        <w:spacing w:after="160" w:before="320"/>
      </w:pPr>
      <w:r>
        <w:rPr>
          <w:b/>
          <w:bCs/>
          <w:color w:val="7C4DFF"/>
          <w:sz w:val="32"/>
          <w:szCs w:val="32"/>
        </w:rPr>
        <w:t xml:space="preserve">11. Etapas (Procesos productivos)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Catálogo de etapas refleja el flujo real de producción.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Trimestral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Orden de las etapas correcto (Corte → Confección → QC → Empaque).</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Trimestral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Etapas obsoletas desactivadas (no eliminadas).</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Trimestral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Preservar historial</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Costos por etapa actualizados.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Semestral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bl>
    <w:p>
      <w:pPr>
        <w:pStyle w:val="Heading1"/>
        <w:spacing w:after="160" w:before="320"/>
      </w:pPr>
      <w:r>
        <w:rPr>
          <w:b/>
          <w:bCs/>
          <w:color w:val="7C4DFF"/>
          <w:sz w:val="32"/>
          <w:szCs w:val="32"/>
        </w:rPr>
        <w:t xml:space="preserve">12. Verificación técnica del sistema</w:t>
      </w:r>
    </w:p>
    <w:p>
      <w:pPr>
        <w:spacing w:after="160"/>
      </w:pPr>
      <w:r>
        <w:t xml:space="preserve">Estos puntos deben revisarse ante cualquier síntoma de lentitud o error, y programarse como rutina semanal.</w:t>
      </w:r>
    </w:p>
    <w:p>
      <w:pPr>
        <w:pStyle w:val="Heading2"/>
        <w:spacing w:after="120" w:before="240"/>
      </w:pPr>
      <w:r>
        <w:rPr>
          <w:b/>
          <w:bCs/>
          <w:color w:val="333333"/>
          <w:sz w:val="26"/>
          <w:szCs w:val="26"/>
        </w:rPr>
        <w:t xml:space="preserve">12.1 Rendimiento y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Tiempo de carga de cada pestaña &lt; 300 ms (P95).</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 / Soporte</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Objetivo CLAUDE.md</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Paginación respeta pageSize ≤ 50 (no pantallas de 500).</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Soporte</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No hay recargas completas al cambiar de pestaña.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SWR cache activo (datos de referencia no se recargan cada 5 min).</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Soporte</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bl>
    <w:p>
      <w:pPr>
        <w:pStyle w:val="Heading2"/>
        <w:spacing w:after="120" w:before="240"/>
      </w:pPr>
      <w:r>
        <w:rPr>
          <w:b/>
          <w:bCs/>
          <w:color w:val="333333"/>
          <w:sz w:val="26"/>
          <w:szCs w:val="26"/>
        </w:rPr>
        <w:t xml:space="preserve">12.2 Agentes de impresión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Print-agent (comandera térmica) en línea.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Indicador verde</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Zebra-agent (etiquetas ZPL) en línea.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Última actividad del agente (lastSeenAt) reciente (&lt;5 min).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API Key del agente no expuesta ni compartida.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Mensual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Seguridad</w:t>
            </w:r>
          </w:p>
        </w:tc>
      </w:tr>
    </w:tbl>
    <w:p>
      <w:pPr>
        <w:pStyle w:val="Heading2"/>
        <w:spacing w:after="120" w:before="240"/>
      </w:pPr>
      <w:r>
        <w:rPr>
          <w:b/>
          <w:bCs/>
          <w:color w:val="333333"/>
          <w:sz w:val="26"/>
          <w:szCs w:val="26"/>
        </w:rPr>
        <w:t xml:space="preserve">12.3 Seguridad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Terminal actual registrado (no solicita registro inesperadamente).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IP de sucursal registrada (sin prompt de «requireBranchRegistration»).</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Usuarios inactivos &gt;30 días deshabilitados.</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Mensual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Logs de sesión sin intentos de login duplicados sospechosos.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 / Soporte</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bl>
    <w:p>
      <w:pPr>
        <w:pStyle w:val="Heading2"/>
        <w:spacing w:after="120" w:before="240"/>
      </w:pPr>
      <w:r>
        <w:rPr>
          <w:b/>
          <w:bCs/>
          <w:color w:val="333333"/>
          <w:sz w:val="26"/>
          <w:szCs w:val="26"/>
        </w:rPr>
        <w:t xml:space="preserve">12.4 Datos e integridad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Sin registros huérfanos (lotes sin vendor, envíos sin lote).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Soporte</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Ejecutar script</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Conteos físicos mensuales coinciden con stock en sistema.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Mensual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Tolerancia ±1%</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Respaldo diario de base de datos confirmado.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Soporte</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PG 15 dev / PG 10 prod</w:t>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Alertas del sistema (errores Winston) revisadas.</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Semanal</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Soporte</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logs/error-*.log</w:t>
            </w:r>
          </w:p>
        </w:tc>
      </w:tr>
    </w:tbl>
    <w:p>
      <w:pPr>
        <w:pStyle w:val="Heading1"/>
        <w:spacing w:after="160" w:before="320"/>
      </w:pPr>
      <w:r>
        <w:rPr>
          <w:b/>
          <w:bCs/>
          <w:color w:val="7C4DFF"/>
          <w:sz w:val="32"/>
          <w:szCs w:val="32"/>
        </w:rPr>
        <w:t xml:space="preserve">13. Cierre diario del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w:t>
            </w:r>
          </w:p>
        </w:tc>
        <w:tc>
          <w:tcPr>
            <w:tcW w:type="dxa" w:w="4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Punto de verificación</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Frecuencia</w:t>
            </w:r>
          </w:p>
        </w:tc>
        <w:tc>
          <w:tcPr>
            <w:tcW w:type="dxa" w:w="14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Responsable</w:t>
            </w:r>
          </w:p>
        </w:tc>
        <w:tc>
          <w:tcPr>
            <w:tcW w:type="dxa" w:w="156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center"/>
            </w:pPr>
            <w:r>
              <w:rPr>
                <w:b/>
                <w:bCs/>
                <w:color w:val="FFFFFF"/>
                <w:sz w:val="20"/>
                <w:szCs w:val="20"/>
              </w:rPr>
              <w:t xml:space="preserve">Observación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Todos los envíos del día registrados.</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Todas las recepciones del día con QC aplicado.</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Reworks del día generados y asignados.</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Observaciones y anomalías anotadas en bitácora.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color w:val="000000"/>
                <w:sz w:val="20"/>
                <w:szCs w:val="20"/>
              </w:rPr>
              <w:t xml:space="preserv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Sesión cerrada correctamente (logout) al final del turno.</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Diaria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Encargado</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No dejar sesión abierta</w:t>
            </w:r>
          </w:p>
        </w:tc>
      </w:tr>
    </w:tbl>
    <w:p>
      <w:pPr>
        <w:pStyle w:val="Heading1"/>
        <w:spacing w:after="160" w:before="320"/>
      </w:pPr>
      <w:r>
        <w:rPr>
          <w:b/>
          <w:bCs/>
          <w:color w:val="7C4DFF"/>
          <w:sz w:val="32"/>
          <w:szCs w:val="32"/>
        </w:rPr>
        <w:t xml:space="preserve">14. Escalamiento de incidencias</w:t>
      </w:r>
    </w:p>
    <w:p>
      <w:pPr>
        <w:spacing w:after="160"/>
      </w:pPr>
      <w:r>
        <w:t xml:space="preserve">Use la siguiente matriz para decidir a quién reportar una anomalía detectada durante la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Tipo de incidencia</w:t>
            </w:r>
          </w:p>
        </w:tc>
        <w:tc>
          <w:tcPr>
            <w:tcW w:type="dxa" w:w="318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Primer responsable</w:t>
            </w:r>
          </w:p>
        </w:tc>
        <w:tc>
          <w:tcPr>
            <w:tcW w:type="dxa" w:w="3180"/>
            <w:tcBorders>
              <w:top w:val="single" w:color="B0B0B0" w:sz="4"/>
              <w:left w:val="single" w:color="B0B0B0" w:sz="4"/>
              <w:bottom w:val="single" w:color="B0B0B0" w:sz="4"/>
              <w:right w:val="single" w:color="B0B0B0" w:sz="4"/>
            </w:tcBorders>
            <w:shd w:fill="7C4DFF" w:val="clear"/>
            <w:tcMar>
              <w:top w:type="dxa" w:w="80"/>
              <w:left w:type="dxa" w:w="120"/>
              <w:bottom w:type="dxa" w:w="80"/>
              <w:right w:type="dxa" w:w="120"/>
            </w:tcMar>
          </w:tcPr>
          <w:p>
            <w:pPr>
              <w:jc w:val="left"/>
            </w:pPr>
            <w:r>
              <w:rPr>
                <w:b/>
                <w:bCs/>
                <w:color w:val="FFFFFF"/>
                <w:sz w:val="20"/>
                <w:szCs w:val="20"/>
              </w:rPr>
              <w:t xml:space="preserve">Tiempo de respuesta</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Error bloqueante en el panel</w:t>
            </w:r>
          </w:p>
        </w:tc>
        <w:tc>
          <w:tcPr>
            <w:tcW w:type="dxa" w:w="31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Soporte técnico (Ventago)</w:t>
            </w:r>
          </w:p>
        </w:tc>
        <w:tc>
          <w:tcPr>
            <w:tcW w:type="dxa" w:w="31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Inmediato</w:t>
            </w:r>
          </w:p>
        </w:tc>
      </w:tr>
      <w:tr>
        <w:tc>
          <w:tcPr>
            <w:tcW w:type="dxa" w:w="30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Defecto de impresión (térmica / ZPL)</w:t>
            </w:r>
          </w:p>
        </w:tc>
        <w:tc>
          <w:tcPr>
            <w:tcW w:type="dxa" w:w="318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Encargado → Soporte si persiste</w:t>
            </w:r>
          </w:p>
        </w:tc>
        <w:tc>
          <w:tcPr>
            <w:tcW w:type="dxa" w:w="318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&lt; 30 min</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Discrepancia en conteo físico</w:t>
            </w:r>
          </w:p>
        </w:tc>
        <w:tc>
          <w:tcPr>
            <w:tcW w:type="dxa" w:w="31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Coordinador de talleres</w:t>
            </w:r>
          </w:p>
        </w:tc>
        <w:tc>
          <w:tcPr>
            <w:tcW w:type="dxa" w:w="31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&lt; 2 h</w:t>
            </w:r>
          </w:p>
        </w:tc>
      </w:tr>
      <w:tr>
        <w:tc>
          <w:tcPr>
            <w:tcW w:type="dxa" w:w="30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Sospecha de acceso no autorizado</w:t>
            </w:r>
          </w:p>
        </w:tc>
        <w:tc>
          <w:tcPr>
            <w:tcW w:type="dxa" w:w="318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Administrador + Soporte</w:t>
            </w:r>
          </w:p>
        </w:tc>
        <w:tc>
          <w:tcPr>
            <w:tcW w:type="dxa" w:w="318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Inmediato</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Liquidación con monto no coincidente</w:t>
            </w:r>
          </w:p>
        </w:tc>
        <w:tc>
          <w:tcPr>
            <w:tcW w:type="dxa" w:w="31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Administración / Finanzas</w:t>
            </w:r>
          </w:p>
        </w:tc>
        <w:tc>
          <w:tcPr>
            <w:tcW w:type="dxa" w:w="31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color w:val="000000"/>
                <w:sz w:val="20"/>
                <w:szCs w:val="20"/>
              </w:rPr>
              <w:t xml:space="preserve">&lt; 24 h</w:t>
            </w:r>
          </w:p>
        </w:tc>
      </w:tr>
      <w:tr>
        <w:tc>
          <w:tcPr>
            <w:tcW w:type="dxa" w:w="300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Lentitud generalizada</w:t>
            </w:r>
          </w:p>
        </w:tc>
        <w:tc>
          <w:tcPr>
            <w:tcW w:type="dxa" w:w="318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left"/>
            </w:pPr>
            <w:r>
              <w:rPr>
                <w:b w:val="false"/>
                <w:bCs w:val="false"/>
                <w:color w:val="000000"/>
                <w:sz w:val="20"/>
                <w:szCs w:val="20"/>
              </w:rPr>
              <w:t xml:space="preserve">Soporte técnico</w:t>
            </w:r>
          </w:p>
        </w:tc>
        <w:tc>
          <w:tcPr>
            <w:tcW w:type="dxa" w:w="3180"/>
            <w:tcBorders>
              <w:top w:val="single" w:color="B0B0B0" w:sz="4"/>
              <w:left w:val="single" w:color="B0B0B0" w:sz="4"/>
              <w:bottom w:val="single" w:color="B0B0B0" w:sz="4"/>
              <w:right w:val="single" w:color="B0B0B0" w:sz="4"/>
            </w:tcBorders>
            <w:shd w:fill="F2F2F2" w:val="clear"/>
            <w:tcMar>
              <w:top w:type="dxa" w:w="80"/>
              <w:left w:type="dxa" w:w="120"/>
              <w:bottom w:type="dxa" w:w="80"/>
              <w:right w:type="dxa" w:w="120"/>
            </w:tcMar>
          </w:tcPr>
          <w:p>
            <w:pPr>
              <w:jc w:val="center"/>
            </w:pPr>
            <w:r>
              <w:rPr>
                <w:b w:val="false"/>
                <w:bCs w:val="false"/>
                <w:color w:val="000000"/>
                <w:sz w:val="20"/>
                <w:szCs w:val="20"/>
              </w:rPr>
              <w:t xml:space="preserve">&lt; 1 h</w:t>
            </w:r>
          </w:p>
        </w:tc>
      </w:tr>
    </w:tbl>
    <w:p>
      <w:r>
        <w:br w:type="page"/>
      </w:r>
    </w:p>
    <w:p>
      <w:pPr>
        <w:pStyle w:val="Heading1"/>
        <w:spacing w:after="160" w:before="320"/>
      </w:pPr>
      <w:r>
        <w:rPr>
          <w:b/>
          <w:bCs/>
          <w:color w:val="7C4DFF"/>
          <w:sz w:val="32"/>
          <w:szCs w:val="32"/>
        </w:rPr>
        <w:t xml:space="preserve">15. Registro de verificación y firmas</w:t>
      </w:r>
    </w:p>
    <w:p>
      <w:pPr>
        <w:spacing w:after="240"/>
      </w:pPr>
      <w:r>
        <w:t xml:space="preserve">Complete el siguiente bloque al cerrar la jornada o al finalizar una revisión semanal.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0B0" w:sz="4"/>
              <w:left w:val="single" w:color="B0B0B0" w:sz="4"/>
              <w:bottom w:val="single" w:color="B0B0B0" w:sz="4"/>
              <w:right w:val="single" w:color="B0B0B0" w:sz="4"/>
            </w:tcBorders>
            <w:shd w:fill="EDE7F6" w:val="clear"/>
            <w:tcMar>
              <w:top w:type="dxa" w:w="80"/>
              <w:left w:type="dxa" w:w="120"/>
              <w:bottom w:type="dxa" w:w="80"/>
              <w:right w:type="dxa" w:w="120"/>
            </w:tcMar>
          </w:tcPr>
          <w:p>
            <w:pPr>
              <w:jc w:val="center"/>
            </w:pPr>
            <w:r>
              <w:rPr>
                <w:b/>
                <w:bCs/>
                <w:color w:val="000000"/>
                <w:sz w:val="20"/>
                <w:szCs w:val="20"/>
              </w:rPr>
              <w:t xml:space="preserve">Fecha</w:t>
            </w:r>
          </w:p>
        </w:tc>
        <w:tc>
          <w:tcPr>
            <w:tcW w:type="dxa" w:w="2340"/>
            <w:tcBorders>
              <w:top w:val="single" w:color="B0B0B0" w:sz="4"/>
              <w:left w:val="single" w:color="B0B0B0" w:sz="4"/>
              <w:bottom w:val="single" w:color="B0B0B0" w:sz="4"/>
              <w:right w:val="single" w:color="B0B0B0" w:sz="4"/>
            </w:tcBorders>
            <w:shd w:fill="EDE7F6" w:val="clear"/>
            <w:tcMar>
              <w:top w:type="dxa" w:w="80"/>
              <w:left w:type="dxa" w:w="120"/>
              <w:bottom w:type="dxa" w:w="80"/>
              <w:right w:type="dxa" w:w="120"/>
            </w:tcMar>
          </w:tcPr>
          <w:p>
            <w:pPr>
              <w:jc w:val="center"/>
            </w:pPr>
            <w:r>
              <w:rPr>
                <w:b/>
                <w:bCs/>
                <w:color w:val="000000"/>
                <w:sz w:val="20"/>
                <w:szCs w:val="20"/>
              </w:rPr>
              <w:t xml:space="preserve">Turno / Tipo de revisión</w:t>
            </w:r>
          </w:p>
        </w:tc>
        <w:tc>
          <w:tcPr>
            <w:tcW w:type="dxa" w:w="2340"/>
            <w:tcBorders>
              <w:top w:val="single" w:color="B0B0B0" w:sz="4"/>
              <w:left w:val="single" w:color="B0B0B0" w:sz="4"/>
              <w:bottom w:val="single" w:color="B0B0B0" w:sz="4"/>
              <w:right w:val="single" w:color="B0B0B0" w:sz="4"/>
            </w:tcBorders>
            <w:shd w:fill="EDE7F6" w:val="clear"/>
            <w:tcMar>
              <w:top w:type="dxa" w:w="80"/>
              <w:left w:type="dxa" w:w="120"/>
              <w:bottom w:type="dxa" w:w="80"/>
              <w:right w:type="dxa" w:w="120"/>
            </w:tcMar>
          </w:tcPr>
          <w:p>
            <w:pPr>
              <w:jc w:val="center"/>
            </w:pPr>
            <w:r>
              <w:rPr>
                <w:b/>
                <w:bCs/>
                <w:color w:val="000000"/>
                <w:sz w:val="20"/>
                <w:szCs w:val="20"/>
              </w:rPr>
              <w:t xml:space="preserve">Encargado (nombre)</w:t>
            </w:r>
          </w:p>
        </w:tc>
        <w:tc>
          <w:tcPr>
            <w:tcW w:type="dxa" w:w="2340"/>
            <w:tcBorders>
              <w:top w:val="single" w:color="B0B0B0" w:sz="4"/>
              <w:left w:val="single" w:color="B0B0B0" w:sz="4"/>
              <w:bottom w:val="single" w:color="B0B0B0" w:sz="4"/>
              <w:right w:val="single" w:color="B0B0B0" w:sz="4"/>
            </w:tcBorders>
            <w:shd w:fill="EDE7F6" w:val="clear"/>
            <w:tcMar>
              <w:top w:type="dxa" w:w="80"/>
              <w:left w:type="dxa" w:w="120"/>
              <w:bottom w:type="dxa" w:w="80"/>
              <w:right w:type="dxa" w:w="120"/>
            </w:tcMar>
          </w:tcPr>
          <w:p>
            <w:pPr>
              <w:jc w:val="center"/>
            </w:pPr>
            <w:r>
              <w:rPr>
                <w:b/>
                <w:bCs/>
                <w:color w:val="000000"/>
                <w:sz w:val="20"/>
                <w:szCs w:val="20"/>
              </w:rPr>
              <w:t xml:space="preserve">Firma</w:t>
            </w:r>
          </w:p>
        </w:tc>
      </w:tr>
      <w:tr>
        <w:trPr>
          <w:trHeight w:val="600" w:hRule="atLeast"/>
        </w:trP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r>
      <w:tr>
        <w:trPr>
          <w:trHeight w:val="600" w:hRule="atLeast"/>
        </w:trP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r>
      <w:tr>
        <w:trPr>
          <w:trHeight w:val="600" w:hRule="atLeast"/>
        </w:trP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r>
      <w:tr>
        <w:trPr>
          <w:trHeight w:val="600" w:hRule="atLeast"/>
        </w:trP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r>
      <w:tr>
        <w:trPr>
          <w:trHeight w:val="600" w:hRule="atLeast"/>
        </w:trP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r>
      <w:tr>
        <w:trPr>
          <w:trHeight w:val="600" w:hRule="atLeast"/>
        </w:trP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r>
      <w:tr>
        <w:trPr>
          <w:trHeight w:val="600" w:hRule="atLeast"/>
        </w:trP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r>
      <w:tr>
        <w:trPr>
          <w:trHeight w:val="600" w:hRule="atLeast"/>
        </w:trP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color w:val="000000"/>
                <w:sz w:val="20"/>
                <w:szCs w:val="20"/>
              </w:rPr>
              <w:t xml:space="preserve"> </w:t>
            </w:r>
          </w:p>
        </w:tc>
      </w:tr>
    </w:tbl>
    <w:p>
      <w:pPr>
        <w:spacing w:before="400"/>
      </w:pPr>
      <w:r>
        <w:t xml:space="preserve"/>
      </w:r>
    </w:p>
    <w:p>
      <w:pPr>
        <w:spacing w:after="80"/>
        <w:rPr>
          <w:i/>
          <w:iCs/>
          <w:color w:val="666666"/>
          <w:sz w:val="20"/>
          <w:szCs w:val="20"/>
        </w:rPr>
      </w:pPr>
      <w:r>
        <w:rPr>
          <w:i/>
          <w:iCs/>
          <w:color w:val="666666"/>
          <w:sz w:val="20"/>
          <w:szCs w:val="20"/>
        </w:rPr>
        <w:t xml:space="preserve">Nota: Esta lista es un instrumento de control interno del módulo Talleres de Ventago. Debe adaptarse a la realidad operativa de cada tienda y revisarse trimestralmente.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Ventago — Talleres /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7C4D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verificación — Talleres (Control)</dc:title>
  <dc:creator>Ventago</dc:creator>
  <dc:description>Checklist integral para encargados de tienda (operación + verificación técnica)</dc:description>
  <cp:lastModifiedBy>Un-named</cp:lastModifiedBy>
  <cp:revision>1</cp:revision>
  <dcterms:created xsi:type="dcterms:W3CDTF">2026-04-24T12:04:25.158Z</dcterms:created>
  <dcterms:modified xsi:type="dcterms:W3CDTF">2026-04-24T12:04:25.158Z</dcterms:modified>
</cp:coreProperties>
</file>

<file path=docProps/custom.xml><?xml version="1.0" encoding="utf-8"?>
<Properties xmlns="http://schemas.openxmlformats.org/officeDocument/2006/custom-properties" xmlns:vt="http://schemas.openxmlformats.org/officeDocument/2006/docPropsVTypes"/>
</file>