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CAPA 보고서 — CP-305 펌프 토출 불량</w:t>
      </w:r>
    </w:p>
    <w:p>
      <w:r>
        <w:t xml:space="preserve">문서번호: CAPA-2025-05</w:t>
      </w:r>
    </w:p>
    <w:p>
      <w:r>
        <w:t xml:space="preserve">작성부서: 품질보증팀</w:t>
      </w:r>
    </w:p>
    <w:p>
      <w:r>
        <w:t xml:space="preserve">작성일: 2025-07-15</w:t>
      </w:r>
    </w:p>
    <w:p>
      <w:r>
        <w:t xml:space="preserve">프로젝트: PJ 2025-CP305</w:t>
      </w:r>
    </w:p>
    <w:p>
      <w:r>
        <w:t xml:space="preserve">제품명: CP-305 UV 선크림 SPF50+ 50ml</w:t>
      </w:r>
    </w:p>
    <w:p>
      <w:r>
        <w:t xml:space="preserve">제품코드: CP-305</w:t>
      </w:r>
    </w:p>
    <w:p>
      <w:r>
        <w:t xml:space="preserve">제형: 혼합자차 선크림</w:t>
      </w:r>
    </w:p>
    <w:p>
      <w:r>
        <w:t xml:space="preserve">로트번호: CP305-2507B</w:t>
      </w:r>
    </w:p>
    <w:p>
      <w:r>
        <w:t xml:space="preserve">현상: 펌프 토출 불량</w:t>
      </w:r>
    </w:p>
    <w:p>
      <w:r>
        <w:t xml:space="preserve">추정 원인: 용기 상용성 불량</w:t>
      </w:r>
    </w:p>
    <w:p>
      <w:r>
        <w:t xml:space="preserve">시정조치: 용기 상용성 재평가</w:t>
      </w:r>
    </w:p>
    <w:p>
      <w:r>
        <w:t xml:space="preserve">심각도: 5 / 10</w:t>
      </w:r>
    </w:p>
    <w:p>
      <w:r>
        <w:t xml:space="preserve">접수건수: 47건</w:t>
      </w:r>
    </w:p>
    <w:p>
      <w:r>
        <w:t xml:space="preserve">적용 법규: 화장품법(한국) · 기능성화장품 심사 규정 · MoCRA(미국) · ISO 22716(GMP)</w:t>
      </w:r>
    </w:p>
    <w:p>
      <w:pPr>
        <w:pStyle w:val="Heading2"/>
      </w:pPr>
      <w:r>
        <w:t xml:space="preserve">1. 문제 정의</w:t>
      </w:r>
    </w:p>
    <w:p>
      <w:r>
        <w:t xml:space="preserve">CP-305 UV 선크림 SPF50+ 50ml 로트 CP305-2507B 에서 발생한 펌프 토출 불량 은 단발성 불량이 아니라 동일 원인(용기 상용성 불량)이 반복 작용한 계통 불량으로 판단되었다. 2025년 누적 접수 47건이다.</w:t>
      </w:r>
    </w:p>
    <w:p>
      <w:pPr>
        <w:pStyle w:val="Heading2"/>
      </w:pPr>
      <w:r>
        <w:t xml:space="preserve">2. 시정조치(Corrective Action)</w:t>
      </w:r>
    </w:p>
    <w:p>
      <w:r>
        <w:t xml:space="preserve">용기 상용성 재평가 를 즉시 적용한다. 적용 범위는 동일 제형 전 품목이며 적용 시점 이후 생산분부터 유효하다.</w:t>
      </w:r>
    </w:p>
    <w:p>
      <w:r>
        <w:t xml:space="preserve">기 생산 재고는 전수 재검사 후 적합품만 출하하고 부적합품은 폐기 처리한다.</w:t>
      </w:r>
    </w:p>
    <w:p>
      <w:pPr>
        <w:pStyle w:val="Heading2"/>
      </w:pPr>
      <w:r>
        <w:t xml:space="preserve">3. 예방조치(Preventive Action)</w:t>
      </w:r>
    </w:p>
    <w:p>
      <w:r>
        <w:t xml:space="preserve">수평 전개 대상은 CP-101 CP-102 CP-203 이며 동일 위험 인자를 가진 제형의 표준서를 일괄 개정한다.</w:t>
      </w:r>
    </w:p>
    <w:p>
      <w:r>
        <w:t xml:space="preserve">원료 입고검사 항목에 로트 편차 관리 지표를 추가하고 공급사 정기 감사 주기를 24개월에서 12개월로 단축한다.</w:t>
      </w:r>
    </w:p>
    <w:p>
      <w:pPr>
        <w:pStyle w:val="Heading2"/>
      </w:pPr>
      <w:r>
        <w:t xml:space="preserve">4. 효과성 검증</w:t>
      </w:r>
    </w:p>
    <w:p>
      <w:r>
        <w:t xml:space="preserve">개선 후 3개 로트에 대하여 안정성 가속 3개월 시험과 challenge test 를 실시하여 모든 항목 적합을 확인한다. 검증 완료 후 CAPA 를 종결한다.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2026-07-20T04:19:48.374Z</dcterms:created>
  <dcterms:modified xsi:type="dcterms:W3CDTF">2026-07-20T04:19:48.374Z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