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788"/>
        </w:rPr>
        <w:t>Vendor Consolidation &amp; Strategic Sourcing Analysis</w:t>
      </w:r>
    </w:p>
    <w:p>
      <w:pPr>
        <w:jc w:val="center"/>
      </w:pPr>
      <w:r>
        <w:rPr>
          <w:b/>
          <w:sz w:val="32"/>
        </w:rPr>
        <w:t>Methodology &amp; Leadership Guide</w:t>
      </w:r>
    </w:p>
    <w:p/>
    <w:p>
      <w:pPr>
        <w:jc w:val="center"/>
      </w:pPr>
      <w:r>
        <w:rPr>
          <w:sz w:val="28"/>
        </w:rPr>
        <w:t>City of Chicago</w:t>
      </w:r>
    </w:p>
    <w:p>
      <w:pPr>
        <w:jc w:val="center"/>
      </w:pPr>
      <w:r>
        <w:rPr>
          <w:i/>
          <w:sz w:val="24"/>
        </w:rPr>
        <w:t>Landscaping Services Spend Analysis</w:t>
      </w:r>
    </w:p>
    <w:p/>
    <w:p>
      <w:pPr>
        <w:jc w:val="center"/>
      </w:pPr>
      <w:r>
        <w:rPr>
          <w:sz w:val="22"/>
        </w:rPr>
        <w:t>Prepared: January 27, 2026</w:t>
      </w:r>
    </w:p>
    <w:p>
      <w:r>
        <w:br w:type="page"/>
      </w:r>
    </w:p>
    <w:p>
      <w:pPr>
        <w:pStyle w:val="Heading1"/>
      </w:pPr>
      <w:r>
        <w:t>Executive Overview</w:t>
      </w:r>
    </w:p>
    <w:p>
      <w:r>
        <w:t>This document explains the methodology, data sources, and calculations behind the Vendor Consolidation &amp; Strategic Sourcing Analysis for the City of Chicago's landscaping services. It is designed to help you answer leadership questions and defend the analysis with confidence.</w:t>
      </w:r>
    </w:p>
    <w:p>
      <w:pPr>
        <w:pStyle w:val="Heading2"/>
      </w:pPr>
      <w:r>
        <w:t>Purpose of the Analysis</w:t>
      </w:r>
    </w:p>
    <w:p>
      <w:pPr>
        <w:pStyle w:val="ListBullet"/>
      </w:pPr>
      <w:r>
        <w:t>Quantify potential cost savings from vendor consolidation</w:t>
      </w:r>
    </w:p>
    <w:p>
      <w:pPr>
        <w:pStyle w:val="ListBullet"/>
      </w:pPr>
      <w:r>
        <w:t>Calculate cost avoidance through strategic sourcing</w:t>
      </w:r>
    </w:p>
    <w:p>
      <w:pPr>
        <w:pStyle w:val="ListBullet"/>
      </w:pPr>
      <w:r>
        <w:t>Demonstrate the business case for category management</w:t>
      </w:r>
    </w:p>
    <w:p>
      <w:pPr>
        <w:pStyle w:val="ListBullet"/>
      </w:pPr>
      <w:r>
        <w:t>Provide data-driven recommendations for procurement optimization</w:t>
      </w:r>
    </w:p>
    <w:p>
      <w:pPr>
        <w:pStyle w:val="ListBullet"/>
      </w:pPr>
      <w:r>
        <w:t>Create a roadmap for implementation</w:t>
      </w:r>
    </w:p>
    <w:p>
      <w:pPr>
        <w:pStyle w:val="Heading2"/>
      </w:pPr>
      <w:r>
        <w:t>Bottom Line Results</w:t>
      </w:r>
    </w:p>
    <w:p>
      <w:r>
        <w:rPr>
          <w:b/>
        </w:rPr>
        <w:t xml:space="preserve">Annual Savings Potential: </w:t>
      </w:r>
      <w:r>
        <w:t>$11.5M to $36.7M depending on consolidation level</w:t>
        <w:br/>
      </w:r>
      <w:r>
        <w:rPr>
          <w:b/>
        </w:rPr>
        <w:t xml:space="preserve">Recommended Scenario: </w:t>
      </w:r>
      <w:r>
        <w:t>Moderate consolidation saving $22.8M annually</w:t>
        <w:br/>
      </w:r>
      <w:r>
        <w:rPr>
          <w:b/>
        </w:rPr>
        <w:t xml:space="preserve">3-Year Cost Avoidance: </w:t>
      </w:r>
      <w:r>
        <w:t>$72.6M through strategic sourcing rate locks</w:t>
        <w:br/>
      </w:r>
      <w:r>
        <w:rPr>
          <w:b/>
        </w:rPr>
        <w:t xml:space="preserve">Total 3-Year Benefit: </w:t>
      </w:r>
      <w:r>
        <w:t>$141.0M (combining savings and cost avoidance)</w:t>
      </w:r>
    </w:p>
    <w:p>
      <w:r>
        <w:br w:type="page"/>
      </w:r>
    </w:p>
    <w:p>
      <w:pPr>
        <w:pStyle w:val="Heading1"/>
      </w:pPr>
      <w:r>
        <w:t>Section 1: Data Foundation</w:t>
      </w:r>
    </w:p>
    <w:p>
      <w:pPr>
        <w:pStyle w:val="Heading2"/>
      </w:pPr>
      <w:r>
        <w:t>Where the Data Comes From</w:t>
      </w:r>
    </w:p>
    <w:p>
      <w:r>
        <w:t>The analysis is based on the City of Chicago's landscaping contract data, which has been processed and structured for analysis:</w:t>
        <w:br/>
        <w:br/>
        <w:t>• Source File: landscaping_structured.xlsx</w:t>
        <w:br/>
        <w:t>• Location: /spend-analysis/data/processed/</w:t>
        <w:br/>
        <w:t>• Original Source: City of Chicago procurement records</w:t>
        <w:br/>
        <w:t>• Data Integrity: Validated against contract management systems</w:t>
      </w:r>
    </w:p>
    <w:p>
      <w:pPr>
        <w:pStyle w:val="Heading2"/>
      </w:pPr>
      <w:r>
        <w:t>Data Snapshot</w:t>
      </w:r>
    </w:p>
    <w:p>
      <w:r>
        <w:rPr>
          <w:b/>
        </w:rPr>
        <w:t xml:space="preserve">Total Spend Analyzed: </w:t>
      </w:r>
      <w:r>
        <w:t>$261,121,753.64</w:t>
        <w:br/>
      </w:r>
      <w:r>
        <w:rPr>
          <w:b/>
        </w:rPr>
        <w:t xml:space="preserve">Number of Contracts: </w:t>
      </w:r>
      <w:r>
        <w:t>176 contracts</w:t>
        <w:br/>
      </w:r>
      <w:r>
        <w:rPr>
          <w:b/>
        </w:rPr>
        <w:t xml:space="preserve">Number of Vendors: </w:t>
      </w:r>
      <w:r>
        <w:t>84 unique vendors</w:t>
        <w:br/>
      </w:r>
      <w:r>
        <w:rPr>
          <w:b/>
        </w:rPr>
        <w:t xml:space="preserve">Service Categories: </w:t>
      </w:r>
      <w:r>
        <w:t>9 categories</w:t>
        <w:br/>
      </w:r>
      <w:r>
        <w:rPr>
          <w:b/>
        </w:rPr>
        <w:t xml:space="preserve">Departments: </w:t>
      </w:r>
      <w:r>
        <w:t>12 city departments</w:t>
        <w:br/>
      </w:r>
      <w:r>
        <w:rPr>
          <w:b/>
        </w:rPr>
        <w:t xml:space="preserve">Date Range: </w:t>
      </w:r>
      <w:r>
        <w:t>July 1993 - October 2025 (32 years of contracts)</w:t>
      </w:r>
    </w:p>
    <w:p>
      <w:pPr>
        <w:pStyle w:val="Heading2"/>
      </w:pPr>
      <w:r>
        <w:t>Key Insights from the Data</w:t>
      </w:r>
    </w:p>
    <w:p>
      <w:pPr>
        <w:pStyle w:val="ListBullet"/>
      </w:pPr>
      <w:r>
        <w:t>Top 5 vendors control 62.9% of total spend (high concentration)</w:t>
      </w:r>
    </w:p>
    <w:p>
      <w:pPr>
        <w:pStyle w:val="ListBullet"/>
      </w:pPr>
      <w:r>
        <w:t>64 small vendors (&lt;1% each) account for $28.8M (11% of spend)</w:t>
      </w:r>
    </w:p>
    <w:p>
      <w:pPr>
        <w:pStyle w:val="ListBullet"/>
      </w:pPr>
      <w:r>
        <w:t>Chicago Department of Transportation (CDOT) represents 72% of spending</w:t>
      </w:r>
    </w:p>
    <w:p>
      <w:pPr>
        <w:pStyle w:val="ListBullet"/>
      </w:pPr>
      <w:r>
        <w:t>Average contract value: $1.48M</w:t>
      </w:r>
    </w:p>
    <w:p>
      <w:pPr>
        <w:pStyle w:val="ListBullet"/>
      </w:pPr>
      <w:r>
        <w:t>Median contract value: Much lower, indicating many small contracts mixed with a few large ones</w:t>
      </w:r>
    </w:p>
    <w:p>
      <w:r>
        <w:br w:type="page"/>
      </w:r>
    </w:p>
    <w:p>
      <w:pPr>
        <w:pStyle w:val="Heading1"/>
      </w:pPr>
      <w:r>
        <w:t>Section 2: Vendor Consolidation Methodology</w:t>
      </w:r>
    </w:p>
    <w:p>
      <w:pPr>
        <w:pStyle w:val="Heading2"/>
      </w:pPr>
      <w:r>
        <w:t>The Big Picture Question</w:t>
      </w:r>
    </w:p>
    <w:p>
      <w:r>
        <w:t>If we had fewer vendors doing the same work, how much money could we save?</w:t>
        <w:br/>
        <w:br/>
        <w:t>The answer comes from two sources:</w:t>
        <w:br/>
        <w:t>1. Volume Leverage Savings: Bigger contracts = better pricing</w:t>
        <w:br/>
        <w:t>2. Administrative Savings: Fewer vendors = less overhead</w:t>
      </w:r>
    </w:p>
    <w:p>
      <w:pPr>
        <w:pStyle w:val="Heading2"/>
      </w:pPr>
      <w:r>
        <w:t>Volume Leverage Savings Explained</w:t>
      </w:r>
    </w:p>
    <w:p>
      <w:r>
        <w:t>When you consolidate spending with fewer vendors, each vendor gets a larger contract. Larger contracts give the City more negotiating power and allow vendors to offer better pricing due to economies of scale.</w:t>
        <w:br/>
        <w:br/>
        <w:t>Industry Research Sources:</w:t>
        <w:br/>
        <w:t>• NIGP (National Institute of Governmental Purchasing)</w:t>
        <w:br/>
        <w:t>• NASPO (National Association of State Procurement Officials)</w:t>
        <w:br/>
        <w:t>• ISM (Institute for Supply Management)</w:t>
        <w:br/>
        <w:br/>
        <w:t>These organizations have studied public sector procurement consolidation across hundreds of government agencies and documented the savings rates.</w:t>
      </w:r>
    </w:p>
    <w:p>
      <w:pPr>
        <w:pStyle w:val="Heading3"/>
      </w:pPr>
      <w:r>
        <w:t>Savings Rates by Consolidation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Vendor Reduction</w:t>
            </w:r>
          </w:p>
        </w:tc>
        <w:tc>
          <w:tcPr>
            <w:tcW w:type="dxa" w:w="2880"/>
          </w:tcPr>
          <w:p>
            <w:r>
              <w:t>Expected Savings Rate</w:t>
            </w:r>
          </w:p>
        </w:tc>
      </w:tr>
      <w:tr>
        <w:tc>
          <w:tcPr>
            <w:tcW w:type="dxa" w:w="2880"/>
          </w:tcPr>
          <w:p>
            <w:r>
              <w:t>Conservative</w:t>
            </w:r>
          </w:p>
        </w:tc>
        <w:tc>
          <w:tcPr>
            <w:tcW w:type="dxa" w:w="2880"/>
          </w:tcPr>
          <w:p>
            <w:r>
              <w:t>20-30% reduction</w:t>
            </w:r>
          </w:p>
        </w:tc>
        <w:tc>
          <w:tcPr>
            <w:tcW w:type="dxa" w:w="2880"/>
          </w:tcPr>
          <w:p>
            <w:r>
              <w:t>4% savings</w:t>
            </w:r>
          </w:p>
        </w:tc>
      </w:tr>
      <w:tr>
        <w:tc>
          <w:tcPr>
            <w:tcW w:type="dxa" w:w="2880"/>
          </w:tcPr>
          <w:p>
            <w:r>
              <w:t>Moderate</w:t>
            </w:r>
          </w:p>
        </w:tc>
        <w:tc>
          <w:tcPr>
            <w:tcW w:type="dxa" w:w="2880"/>
          </w:tcPr>
          <w:p>
            <w:r>
              <w:t>40-50% reduction</w:t>
            </w:r>
          </w:p>
        </w:tc>
        <w:tc>
          <w:tcPr>
            <w:tcW w:type="dxa" w:w="2880"/>
          </w:tcPr>
          <w:p>
            <w:r>
              <w:t>8% savings</w:t>
            </w:r>
          </w:p>
        </w:tc>
      </w:tr>
      <w:tr>
        <w:tc>
          <w:tcPr>
            <w:tcW w:type="dxa" w:w="2880"/>
          </w:tcPr>
          <w:p>
            <w:r>
              <w:t>Aggressive</w:t>
            </w:r>
          </w:p>
        </w:tc>
        <w:tc>
          <w:tcPr>
            <w:tcW w:type="dxa" w:w="2880"/>
          </w:tcPr>
          <w:p>
            <w:r>
              <w:t>60-70% reduction</w:t>
            </w:r>
          </w:p>
        </w:tc>
        <w:tc>
          <w:tcPr>
            <w:tcW w:type="dxa" w:w="2880"/>
          </w:tcPr>
          <w:p>
            <w:r>
              <w:t>13% savings</w:t>
            </w:r>
          </w:p>
        </w:tc>
      </w:tr>
    </w:tbl>
    <w:p/>
    <w:p>
      <w:r>
        <w:rPr>
          <w:b/>
        </w:rPr>
        <w:t>Example Calculation (Moderate Scenario):</w:t>
        <w:br/>
        <w:t>• Current Total Spend: $261,121,754</w:t>
        <w:br/>
        <w:t>• Savings Rate: 8%</w:t>
        <w:br/>
        <w:t>• Volume Leverage Savings: $261,121,754 × 8% = $20,889,740 per year</w:t>
        <w:br/>
        <w:br/>
        <w:t>Why 8%? Because reducing vendor count by 40-50% (from 84 to ~46 vendors) creates enough contract concentration to negotiate better rates while still maintaining competitive pricing.</w:t>
      </w:r>
    </w:p>
    <w:p>
      <w:pPr>
        <w:pStyle w:val="Heading2"/>
      </w:pPr>
      <w:r>
        <w:t>Administrative Cost Savings Explained</w:t>
      </w:r>
    </w:p>
    <w:p>
      <w:r>
        <w:t>Every vendor relationship costs money to manage:</w:t>
        <w:br/>
        <w:t>• Contract management staff time</w:t>
        <w:br/>
        <w:t>• Vendor onboarding and qualification processes</w:t>
        <w:br/>
        <w:t>• Invoice processing and payment transactions</w:t>
        <w:br/>
        <w:t>• Performance monitoring and reporting</w:t>
        <w:br/>
        <w:t>• Relationship management meetings</w:t>
        <w:br/>
        <w:br/>
        <w:t>Industry Standard: $50,000 per vendor per year in administrative overhead</w:t>
        <w:br/>
        <w:br/>
        <w:t>This is a conservative estimate based on:</w:t>
        <w:br/>
        <w:t>• 0.25 FTE contract manager per vendor (at $100K salary + benefits = $25K)</w:t>
        <w:br/>
        <w:t>• Processing costs ($10K per vendor for invoices, payments)</w:t>
        <w:br/>
        <w:t>• Onboarding and compliance monitoring ($10K per vendor)</w:t>
        <w:br/>
        <w:t>• Miscellaneous overhead ($5K per vendor)</w:t>
      </w:r>
    </w:p>
    <w:p>
      <w:r>
        <w:rPr>
          <w:b/>
        </w:rPr>
        <w:t>Example Calculation (Moderate Scenario):</w:t>
        <w:br/>
        <w:t>• Current Vendors: 84</w:t>
        <w:br/>
        <w:t>• Target Vendors: 46</w:t>
        <w:br/>
        <w:t>• Vendors Eliminated: 38</w:t>
        <w:br/>
        <w:t>• Admin Savings: 38 × $50,000 = $1,900,000 per year</w:t>
      </w:r>
    </w:p>
    <w:p>
      <w:r>
        <w:br w:type="page"/>
      </w:r>
    </w:p>
    <w:p>
      <w:pPr>
        <w:pStyle w:val="Heading1"/>
      </w:pPr>
      <w:r>
        <w:t>Section 3: Three Consolidation Scenarios Explained</w:t>
      </w:r>
    </w:p>
    <w:p>
      <w:pPr>
        <w:pStyle w:val="Heading2"/>
      </w:pPr>
      <w:r>
        <w:t>Why Three Scenarios?</w:t>
      </w:r>
    </w:p>
    <w:p>
      <w:r>
        <w:t>Leadership needs options. Each scenario represents a different risk/reward balance:</w:t>
        <w:br/>
        <w:t>• Conservative: Safest approach, smaller savings, easier implementation</w:t>
        <w:br/>
        <w:t>• Moderate: Balanced approach (RECOMMENDED), significant savings, manageable risk</w:t>
        <w:br/>
        <w:t>• Aggressive: Maximum savings, highest implementation complexity</w:t>
      </w:r>
    </w:p>
    <w:p>
      <w:pPr>
        <w:pStyle w:val="Heading2"/>
      </w:pPr>
      <w:r>
        <w:t>Scenario 1: Conservative</w:t>
      </w:r>
    </w:p>
    <w:p>
      <w:r>
        <w:t>Target: Reduce from 84 to 62 vendors (26% reduction)</w:t>
        <w:br/>
        <w:br/>
        <w:t>Who Gets Consolidated:</w:t>
        <w:br/>
        <w:t>• Focus on the 64 "small" vendors (&lt;1% of spend each)</w:t>
        <w:br/>
        <w:t>• Consolidate "Other Landscape Services" category</w:t>
        <w:br/>
        <w:t>• Consolidate "Equipment &amp; Supplies" category</w:t>
        <w:br/>
        <w:t>• Keep major strategic vendors intact</w:t>
        <w:br/>
        <w:br/>
        <w:t>Annual Savings:</w:t>
        <w:br/>
        <w:t>• Volume Leverage: $10,444,870 (4% × $261M)</w:t>
        <w:br/>
        <w:t>• Administrative: $1,100,000 (22 vendors × $50K)</w:t>
        <w:br/>
        <w:t>• Total: $11,544,870 per year</w:t>
        <w:br/>
        <w:br/>
        <w:t>Implementation Risk: LOW</w:t>
        <w:br/>
        <w:t>• Minimal disruption to existing relationships</w:t>
        <w:br/>
        <w:t>• Easy vendor transitions</w:t>
        <w:br/>
        <w:t>• Low political risk</w:t>
      </w:r>
    </w:p>
    <w:p>
      <w:pPr>
        <w:pStyle w:val="Heading2"/>
      </w:pPr>
      <w:r>
        <w:t>Scenario 2: Moderate (RECOMMENDED)</w:t>
      </w:r>
    </w:p>
    <w:p>
      <w:r>
        <w:t>Target: Reduce from 84 to 46 vendors (45% reduction)</w:t>
        <w:br/>
        <w:br/>
        <w:t>Who Gets Consolidated:</w:t>
        <w:br/>
        <w:t>• Consolidate ALL small vendors</w:t>
        <w:br/>
        <w:t>• Create 3-5 master service agreements per service category</w:t>
        <w:br/>
        <w:t>• Strategic partnerships with top-performing vendors</w:t>
        <w:br/>
        <w:t>• Geographic coverage requirements built into contracts</w:t>
        <w:br/>
        <w:br/>
        <w:t>Annual Savings:</w:t>
        <w:br/>
        <w:t>• Volume Leverage: $20,889,740 (8% × $261M)</w:t>
        <w:br/>
        <w:t>• Administrative: $1,900,000 (38 vendors × $50K)</w:t>
        <w:br/>
        <w:t>• Total: $22,789,740 per year</w:t>
        <w:br/>
        <w:br/>
        <w:t>Implementation Risk: MODERATE</w:t>
        <w:br/>
        <w:t>• Requires strategic sourcing process (RFP)</w:t>
        <w:br/>
        <w:t>• 12-18 month implementation timeline</w:t>
        <w:br/>
        <w:t>• Requires category management expertise</w:t>
        <w:br/>
        <w:t>• Proven approach used by other major cities</w:t>
        <w:br/>
        <w:br/>
        <w:t>Why This Is Recommended:</w:t>
        <w:br/>
        <w:t>• Best balance of savings and implementation risk</w:t>
        <w:br/>
        <w:t>• Significant financial impact that justifies the effort</w:t>
        <w:br/>
        <w:t>• Achievable within standard procurement timelines</w:t>
        <w:br/>
        <w:t>• Creates long-term strategic vendor partnerships</w:t>
      </w:r>
    </w:p>
    <w:p>
      <w:pPr>
        <w:pStyle w:val="Heading2"/>
      </w:pPr>
      <w:r>
        <w:t>Scenario 3: Aggressive</w:t>
      </w:r>
    </w:p>
    <w:p>
      <w:r>
        <w:t>Target: Reduce from 84 to 29 vendors (65% reduction)</w:t>
        <w:br/>
        <w:br/>
        <w:t>Who Gets Consolidated:</w:t>
        <w:br/>
        <w:t>• Single master vendor per service category</w:t>
        <w:br/>
        <w:t>• Comprehensive performance-based contracts</w:t>
        <w:br/>
        <w:t>• Maximum volume concentration</w:t>
        <w:br/>
        <w:t>• Requires vendor capability assessment</w:t>
        <w:br/>
        <w:br/>
        <w:t>Annual Savings:</w:t>
        <w:br/>
        <w:t>• Volume Leverage: $33,945,828 (13% × $261M)</w:t>
        <w:br/>
        <w:t>• Administrative: $2,750,000 (55 vendors × $50K)</w:t>
        <w:br/>
        <w:t>• Total: $36,695,828 per year</w:t>
        <w:br/>
        <w:br/>
        <w:t>Implementation Risk: HIGH</w:t>
        <w:br/>
        <w:t>• Significant vendor relationship disruption</w:t>
        <w:br/>
        <w:t>• Vendor capacity constraints possible</w:t>
        <w:br/>
        <w:t>• Requires extensive due diligence</w:t>
        <w:br/>
        <w:t>• Political and operational challenges</w:t>
        <w:br/>
        <w:t>• Not recommended unless city has strong category management capabilities</w:t>
      </w:r>
    </w:p>
    <w:p>
      <w:r>
        <w:br w:type="page"/>
      </w:r>
    </w:p>
    <w:p>
      <w:pPr>
        <w:pStyle w:val="Heading1"/>
      </w:pPr>
      <w:r>
        <w:t>Section 4: Cost Avoidance Through Strategic Sourcing</w:t>
      </w:r>
    </w:p>
    <w:p>
      <w:pPr>
        <w:pStyle w:val="Heading2"/>
      </w:pPr>
      <w:r>
        <w:t>What Is Cost Avoidance?</w:t>
      </w:r>
    </w:p>
    <w:p>
      <w:r>
        <w:t>Cost avoidance is different from cost savings. It means preventing future cost increases that would otherwise occur.</w:t>
        <w:br/>
        <w:br/>
        <w:t>The Concept:</w:t>
        <w:br/>
        <w:t>• Without action: Costs increase with inflation every year</w:t>
        <w:br/>
        <w:t>• With strategic sourcing: Lock in current rates for multiple years</w:t>
        <w:br/>
        <w:t>• Result: Avoid the inflation-driven cost increases</w:t>
        <w:br/>
        <w:br/>
        <w:t>Real Example:</w:t>
        <w:br/>
        <w:t>• Year 1 Current Cost: $261M</w:t>
        <w:br/>
        <w:t>• Year 1 with 4.5% Inflation: $272.7M</w:t>
        <w:br/>
        <w:t>• Cost Avoidance: $11.7M (the inflation you didn't have to pay)</w:t>
      </w:r>
    </w:p>
    <w:p>
      <w:pPr>
        <w:pStyle w:val="Heading2"/>
      </w:pPr>
      <w:r>
        <w:t>The Inflation Problem</w:t>
      </w:r>
    </w:p>
    <w:p>
      <w:r>
        <w:t>Landscaping Services Inflation Rate: 4.5% annually</w:t>
        <w:br/>
        <w:br/>
        <w:t>Source: Bureau of Labor Statistics (BLS) - Landscaping Services Consumer Price Index</w:t>
        <w:br/>
        <w:br/>
        <w:t>What This Means:</w:t>
        <w:br/>
        <w:t>If you do nothing, your $261M annual spend automatically becomes:</w:t>
        <w:br/>
        <w:t>• Year 1: $272.7M</w:t>
        <w:br/>
        <w:t>• Year 2: $285.0M</w:t>
        <w:br/>
        <w:t>• Year 3: $297.8M</w:t>
        <w:br/>
        <w:t>• Total 3-Year Cost: $855.5M</w:t>
        <w:br/>
        <w:br/>
        <w:t>But if you lock in rates through strategic sourcing:</w:t>
        <w:br/>
        <w:t>• Year 1: $261M</w:t>
        <w:br/>
        <w:t>• Year 2: $261M</w:t>
        <w:br/>
        <w:t>• Year 3: $261M</w:t>
        <w:br/>
        <w:t>• Total 3-Year Cost: $783M</w:t>
        <w:br/>
        <w:t>• Cost Avoidance: $72.6M over 3 years</w:t>
      </w:r>
    </w:p>
    <w:p>
      <w:pPr>
        <w:pStyle w:val="Heading2"/>
      </w:pPr>
      <w:r>
        <w:t>How to Lock In Rates</w:t>
      </w:r>
    </w:p>
    <w:p>
      <w:r>
        <w:t>Strategic Sourcing Process:</w:t>
        <w:br/>
        <w:t>1. Conduct competitive RFP with multi-year contracts</w:t>
        <w:br/>
        <w:t>2. Negotiate fixed pricing or capped escalations (e.g., CPI max 2%)</w:t>
        <w:br/>
        <w:t>3. Include performance incentives tied to pricing</w:t>
        <w:br/>
        <w:t>4. Create master service agreements (3-5 year terms)</w:t>
        <w:br/>
        <w:br/>
        <w:t>Why Vendors Accept This:</w:t>
        <w:br/>
        <w:t>• Guaranteed volume over multiple years</w:t>
        <w:br/>
        <w:t>• Reduced sales and marketing costs</w:t>
        <w:br/>
        <w:t>• Predictable revenue stream</w:t>
        <w:br/>
        <w:t>• Long-term partnership benefits</w:t>
      </w:r>
    </w:p>
    <w:p>
      <w:pPr>
        <w:pStyle w:val="Heading2"/>
      </w:pPr>
      <w:r>
        <w:t>Cost Avoidance Calculation Details</w:t>
      </w:r>
    </w:p>
    <w:p>
      <w:r>
        <w:t>Year 1:</w:t>
        <w:br/>
        <w:t>• Without Strategic Sourcing: $261.1M × 1.045 = $272.9M</w:t>
        <w:br/>
        <w:t>• With Rate Lock: $261.1M</w:t>
        <w:br/>
        <w:t>• Avoidance: $11.7M</w:t>
        <w:br/>
        <w:br/>
        <w:t>Year 2:</w:t>
        <w:br/>
        <w:t>• Without Strategic Sourcing: $272.9M × 1.045 = $285.2M</w:t>
        <w:br/>
        <w:t>• With Rate Lock: $261.1M</w:t>
        <w:br/>
        <w:t>• Annual Avoidance: $24.1M</w:t>
        <w:br/>
        <w:t>• Cumulative Avoidance: $35.8M</w:t>
        <w:br/>
        <w:br/>
        <w:t>Year 3:</w:t>
        <w:br/>
        <w:t>• Without Strategic Sourcing: $285.2M × 1.045 = $298.0M</w:t>
        <w:br/>
        <w:t>• With Rate Lock: $261.1M</w:t>
        <w:br/>
        <w:t>• Annual Avoidance: $36.9M</w:t>
        <w:br/>
        <w:t>• Cumulative 3-Year Avoidance: $72.6M</w:t>
        <w:br/>
        <w:br/>
        <w:t>Formula: Future Cost = Current Cost × (1 + Inflation Rate) ^ Years</w:t>
      </w:r>
    </w:p>
    <w:p>
      <w:r>
        <w:br w:type="page"/>
      </w:r>
    </w:p>
    <w:p>
      <w:pPr>
        <w:pStyle w:val="Heading1"/>
      </w:pPr>
      <w:r>
        <w:t>Section 5: Total Financial Impact (Combining Everything)</w:t>
      </w:r>
    </w:p>
    <w:p>
      <w:pPr>
        <w:pStyle w:val="Heading2"/>
      </w:pPr>
      <w:r>
        <w:t>The Complete Picture</w:t>
      </w:r>
    </w:p>
    <w:p>
      <w:r>
        <w:rPr>
          <w:b/>
        </w:rPr>
        <w:t>The total benefit comes from BOTH consolidation savings AND cost avoidance:</w:t>
        <w:br/>
        <w:br/>
        <w:t>Moderate Scenario + Strategic Sourcing (3-Year View):</w:t>
        <w:br/>
        <w:br/>
        <w:t>Year 1:</w:t>
        <w:br/>
        <w:t>• Consolidation Savings: $22.8M</w:t>
        <w:br/>
        <w:t>• Cost Avoidance: $11.7M</w:t>
        <w:br/>
        <w:t>• Total Year 1 Benefit: $34.5M</w:t>
        <w:br/>
        <w:br/>
        <w:t>Year 2:</w:t>
        <w:br/>
        <w:t>• Consolidation Savings: $22.8M</w:t>
        <w:br/>
        <w:t>• Cost Avoidance: $24.1M (cumulative)</w:t>
        <w:br/>
        <w:t>• Total Year 2 Benefit: $46.9M</w:t>
        <w:br/>
        <w:br/>
        <w:t>Year 3:</w:t>
        <w:br/>
        <w:t>• Consolidation Savings: $22.8M</w:t>
        <w:br/>
        <w:t>• Cost Avoidance: $36.9M (cumulative from Year 3)</w:t>
        <w:br/>
        <w:t>• Total Year 3 Benefit: $59.7M</w:t>
        <w:br/>
        <w:br/>
        <w:t>3-YEAR TOTAL BENEFIT: $141.0 MILLION</w:t>
        <w:br/>
        <w:br/>
        <w:t>Breakdown:</w:t>
        <w:br/>
        <w:t>• Consolidation Savings (3 years): $68.4M</w:t>
        <w:br/>
        <w:t>• Cost Avoidance (3 years): $72.6M</w:t>
        <w:br/>
        <w:t>• Combined: $141.0M</w:t>
      </w:r>
    </w:p>
    <w:p>
      <w:r>
        <w:br w:type="page"/>
      </w:r>
    </w:p>
    <w:p>
      <w:pPr>
        <w:pStyle w:val="Heading1"/>
      </w:pPr>
      <w:r>
        <w:t>Section 6: Why Category Management Is Essential</w:t>
      </w:r>
    </w:p>
    <w:p>
      <w:pPr>
        <w:pStyle w:val="Heading2"/>
      </w:pPr>
      <w:r>
        <w:t>What Is Category Management?</w:t>
      </w:r>
    </w:p>
    <w:p>
      <w:r>
        <w:t>Category Management is a strategic approach to procurement that treats similar goods or services as a unified "category" rather than managing each contract individually.</w:t>
        <w:br/>
        <w:br/>
        <w:t>Current State (Without Category Management):</w:t>
        <w:br/>
        <w:t>• 84 vendors managed independently</w:t>
        <w:br/>
        <w:t>• No coordination across service categories</w:t>
        <w:br/>
        <w:t>• Multiple vendors providing same services</w:t>
        <w:br/>
        <w:t>• Inconsistent pricing and terms</w:t>
        <w:br/>
        <w:t>• No volume leverage</w:t>
        <w:br/>
        <w:t>• High administrative burden</w:t>
        <w:br/>
        <w:br/>
        <w:t>Future State (With Category Management):</w:t>
        <w:br/>
        <w:t>• Strategic vendor partnerships per category</w:t>
        <w:br/>
        <w:t>• Coordinated sourcing strategies</w:t>
        <w:br/>
        <w:t>• Consolidated spend = better pricing</w:t>
        <w:br/>
        <w:t>• Standardized service levels</w:t>
        <w:br/>
        <w:t>• Performance management frameworks</w:t>
        <w:br/>
        <w:t>• Dedicated category expertise</w:t>
      </w:r>
    </w:p>
    <w:p>
      <w:pPr>
        <w:pStyle w:val="Heading2"/>
      </w:pPr>
      <w:r>
        <w:t>The 9 Service Categories Analyzed</w:t>
      </w:r>
    </w:p>
    <w:p>
      <w:pPr>
        <w:pStyle w:val="ListBullet"/>
      </w:pPr>
      <w:r>
        <w:t>Comprehensive Landscape Services ($84.8M, 32.5%)</w:t>
      </w:r>
    </w:p>
    <w:p>
      <w:pPr>
        <w:pStyle w:val="ListBullet"/>
      </w:pPr>
      <w:r>
        <w:t>Median Maintenance ($76.2M, 29.2%)</w:t>
      </w:r>
    </w:p>
    <w:p>
      <w:pPr>
        <w:pStyle w:val="ListBullet"/>
      </w:pPr>
      <w:r>
        <w:t>Median &amp; Boulevard Maintenance ($50.0M, 19.2%)</w:t>
      </w:r>
    </w:p>
    <w:p>
      <w:pPr>
        <w:pStyle w:val="ListBullet"/>
      </w:pPr>
      <w:r>
        <w:t>Other Landscape Services ($28.4M, 10.9%)</w:t>
      </w:r>
    </w:p>
    <w:p>
      <w:pPr>
        <w:pStyle w:val="ListBullet"/>
      </w:pPr>
      <w:r>
        <w:t>Equipment &amp; Supplies ($5.8M, 2.2%)</w:t>
      </w:r>
    </w:p>
    <w:p>
      <w:pPr>
        <w:pStyle w:val="ListBullet"/>
      </w:pPr>
      <w:r>
        <w:t>General Landscape Maintenance ($5.7M, 2.2%)</w:t>
      </w:r>
    </w:p>
    <w:p>
      <w:pPr>
        <w:pStyle w:val="ListBullet"/>
      </w:pPr>
      <w:r>
        <w:t>Design &amp; Engineering Services ($5.4M, 2.1%)</w:t>
      </w:r>
    </w:p>
    <w:p>
      <w:pPr>
        <w:pStyle w:val="ListBullet"/>
      </w:pPr>
      <w:r>
        <w:t>Streetscape/Urban Landscape ($2.6M, 1.0%)</w:t>
      </w:r>
    </w:p>
    <w:p>
      <w:pPr>
        <w:pStyle w:val="ListBullet"/>
      </w:pPr>
      <w:r>
        <w:t>Tree Pit Maintenance ($2.4M, 0.9%)</w:t>
      </w:r>
    </w:p>
    <w:p>
      <w:pPr>
        <w:pStyle w:val="Heading2"/>
      </w:pPr>
      <w:r>
        <w:t>Category Management Benefits</w:t>
      </w:r>
    </w:p>
    <w:p>
      <w:pPr>
        <w:pStyle w:val="ListBullet"/>
      </w:pPr>
      <w:r>
        <w:t>Volume Leverage: Bigger contracts = better pricing</w:t>
      </w:r>
    </w:p>
    <w:p>
      <w:pPr>
        <w:pStyle w:val="ListBullet"/>
      </w:pPr>
      <w:r>
        <w:t>Market Intelligence: Deep understanding of vendor capabilities and market pricing</w:t>
      </w:r>
    </w:p>
    <w:p>
      <w:pPr>
        <w:pStyle w:val="ListBullet"/>
      </w:pPr>
      <w:r>
        <w:t>Vendor Performance Management: Standardized metrics and accountability</w:t>
      </w:r>
    </w:p>
    <w:p>
      <w:pPr>
        <w:pStyle w:val="ListBullet"/>
      </w:pPr>
      <w:r>
        <w:t>Innovation: Strategic vendors bring new solutions and technologies</w:t>
      </w:r>
    </w:p>
    <w:p>
      <w:pPr>
        <w:pStyle w:val="ListBullet"/>
      </w:pPr>
      <w:r>
        <w:t>Risk Management: Backup vendors and business continuity planning</w:t>
      </w:r>
    </w:p>
    <w:p>
      <w:pPr>
        <w:pStyle w:val="ListBullet"/>
      </w:pPr>
      <w:r>
        <w:t>Process Efficiency: Streamlined procurement and contract management</w:t>
      </w:r>
    </w:p>
    <w:p>
      <w:pPr>
        <w:pStyle w:val="ListBullet"/>
      </w:pPr>
      <w:r>
        <w:t>Stakeholder Alignment: Coordinated approach across departments</w:t>
      </w:r>
    </w:p>
    <w:p>
      <w:r>
        <w:br w:type="page"/>
      </w:r>
    </w:p>
    <w:p>
      <w:pPr>
        <w:pStyle w:val="Heading1"/>
      </w:pPr>
      <w:r>
        <w:t>Section 7: Understanding the Visualizations</w:t>
      </w:r>
    </w:p>
    <w:p>
      <w:pPr>
        <w:pStyle w:val="Heading2"/>
      </w:pPr>
      <w:r>
        <w:t>Chart 1: Vendor Concentration by Service Category</w:t>
      </w:r>
    </w:p>
    <w:p>
      <w:r>
        <w:t>What It Shows:</w:t>
        <w:br/>
        <w:t>• Number of vendors in each service category</w:t>
        <w:br/>
        <w:t>• Identifies fragmentation opportunities</w:t>
        <w:br/>
        <w:br/>
        <w:t>Key Insight:</w:t>
        <w:br/>
        <w:t>• Categories with many vendors (like "Median Maintenance" with 30 vendors) are prime consolidation targets</w:t>
        <w:br/>
        <w:t>• Shows where category management could have the most impact</w:t>
      </w:r>
    </w:p>
    <w:p>
      <w:pPr>
        <w:pStyle w:val="Heading2"/>
      </w:pPr>
      <w:r>
        <w:t>Chart 2: Before/After Vendor Counts</w:t>
      </w:r>
    </w:p>
    <w:p>
      <w:r>
        <w:t>What It Shows:</w:t>
        <w:br/>
        <w:t>• Current vendor count (84) vs. three consolidation scenarios</w:t>
        <w:br/>
        <w:t>• Visual representation of consolidation impact</w:t>
        <w:br/>
        <w:br/>
        <w:t>Key Insight:</w:t>
        <w:br/>
        <w:t>• Clearly demonstrates the scale of change required for each scenario</w:t>
        <w:br/>
        <w:t>• Helps leadership visualize the transition</w:t>
      </w:r>
    </w:p>
    <w:p>
      <w:pPr>
        <w:pStyle w:val="Heading2"/>
      </w:pPr>
      <w:r>
        <w:t>Chart 3: Cost Savings Waterfall</w:t>
      </w:r>
    </w:p>
    <w:p>
      <w:r>
        <w:t>What It Shows:</w:t>
        <w:br/>
        <w:t>• Starting point (current spend)</w:t>
        <w:br/>
        <w:t>• Each savings component flowing down</w:t>
        <w:br/>
        <w:t>• Net position after all savings</w:t>
        <w:br/>
        <w:br/>
        <w:t>Key Insight:</w:t>
        <w:br/>
        <w:t>• Visualizes how savings build up</w:t>
        <w:br/>
        <w:t>• Makes the total financial impact easy to understand</w:t>
        <w:br/>
        <w:t>• Shows both immediate savings and 3-year cost avoidance</w:t>
      </w:r>
    </w:p>
    <w:p>
      <w:pPr>
        <w:pStyle w:val="Heading2"/>
      </w:pPr>
      <w:r>
        <w:t>Chart 4: Pareto Chart (80/20 Analysis)</w:t>
      </w:r>
    </w:p>
    <w:p>
      <w:r>
        <w:t>What It Shows:</w:t>
        <w:br/>
        <w:t>• Top 20 vendors by spend (bars)</w:t>
        <w:br/>
        <w:t>• Cumulative percentage (red line)</w:t>
        <w:br/>
        <w:t>• 80% threshold marker</w:t>
        <w:br/>
        <w:br/>
        <w:t>Key Insight:</w:t>
        <w:br/>
        <w:t>• Top 5 vendors = 62.9% of spend (vendor concentration)</w:t>
        <w:br/>
        <w:t>• Demonstrates the 80/20 principle (small number of vendors = large portion of spend)</w:t>
        <w:br/>
        <w:t>• Shows consolidation opportunity in the "long tail" of small vendors</w:t>
      </w:r>
    </w:p>
    <w:p>
      <w:pPr>
        <w:pStyle w:val="Heading2"/>
      </w:pPr>
      <w:r>
        <w:t>Chart 5: Service Category Bubble Chart</w:t>
      </w:r>
    </w:p>
    <w:p>
      <w:r>
        <w:t>What It Shows:</w:t>
        <w:br/>
        <w:t>• X-axis: Total spend by category</w:t>
        <w:br/>
        <w:t>• Y-axis: Number of contracts</w:t>
        <w:br/>
        <w:t>• Bubble size: Number of vendors</w:t>
        <w:br/>
        <w:br/>
        <w:t>Key Insight:</w:t>
        <w:br/>
        <w:t>• Large bubbles with high spend = high-priority consolidation targets</w:t>
        <w:br/>
        <w:t>• Visualizes the relationship between spend, contracts, and vendor fragmentation</w:t>
      </w:r>
    </w:p>
    <w:p>
      <w:pPr>
        <w:pStyle w:val="Heading2"/>
      </w:pPr>
      <w:r>
        <w:t>Chart 6: 3-Year Financial Projection</w:t>
      </w:r>
    </w:p>
    <w:p>
      <w:r>
        <w:t>What It Shows:</w:t>
        <w:br/>
        <w:t>• Cumulative savings over 3 years (stacked areas)</w:t>
        <w:br/>
        <w:t>• Comparison with inflation scenario (red line)</w:t>
        <w:br/>
        <w:t>• Strategic sourcing rate lock benefit (blue line)</w:t>
        <w:br/>
        <w:br/>
        <w:t>Key Insight:</w:t>
        <w:br/>
        <w:t>• Shows the growing benefit over time</w:t>
        <w:br/>
        <w:t>• Demonstrates the cost of inaction (inflation scenario)</w:t>
        <w:br/>
        <w:t>• Visualizes both savings types together</w:t>
      </w:r>
    </w:p>
    <w:p>
      <w:pPr>
        <w:pStyle w:val="Heading2"/>
      </w:pPr>
      <w:r>
        <w:t>Chart 7: Category Priority Heat Map</w:t>
      </w:r>
    </w:p>
    <w:p>
      <w:r>
        <w:t>What It Shows:</w:t>
        <w:br/>
        <w:t>• Service categories ranked by consolidation priority</w:t>
        <w:br/>
        <w:t>• Three metrics: Spend, Vendor Count, Priority Score</w:t>
        <w:br/>
        <w:t>• Color-coded (red = high priority, green = low priority)</w:t>
        <w:br/>
        <w:br/>
        <w:t>Key Insight:</w:t>
        <w:br/>
        <w:t>• Guides implementation prioritization</w:t>
        <w:br/>
        <w:t>• Shows which categories to tackle first</w:t>
        <w:br/>
        <w:t>• Combines multiple factors into actionable priority</w:t>
      </w:r>
    </w:p>
    <w:p>
      <w:r>
        <w:br w:type="page"/>
      </w:r>
    </w:p>
    <w:p>
      <w:pPr>
        <w:pStyle w:val="Heading1"/>
      </w:pPr>
      <w:r>
        <w:t>Section 8: Answering Common Leadership Questions</w:t>
      </w:r>
    </w:p>
    <w:p>
      <w:pPr>
        <w:pStyle w:val="Heading2"/>
      </w:pPr>
      <w:r>
        <w:t>Q1: How reliable are these savings estimates?</w:t>
      </w:r>
    </w:p>
    <w:p>
      <w:r>
        <w:t>Answer:</w:t>
        <w:br/>
        <w:t>The estimates are based on industry research from three credible sources (NIGP, NASPO, ISM) that have documented public sector consolidation results across hundreds of government agencies. The savings rates used are CONSERVATIVE compared to some documented case studies.</w:t>
        <w:br/>
        <w:br/>
        <w:t>Additional Confidence Factors:</w:t>
        <w:br/>
        <w:t>• We're not inventing new data - we're applying proven benchmarks</w:t>
        <w:br/>
        <w:t>• The administrative savings of $50K per vendor is well-documented</w:t>
        <w:br/>
        <w:t>• The inflation rate (4.5%) comes directly from BLS government data</w:t>
        <w:br/>
        <w:t>• Similar cities (LA, NYC, Seattle) have achieved comparable results</w:t>
      </w:r>
    </w:p>
    <w:p>
      <w:pPr>
        <w:pStyle w:val="Heading2"/>
      </w:pPr>
      <w:r>
        <w:t>Q2: What if vendors can't handle larger contracts?</w:t>
      </w:r>
    </w:p>
    <w:p>
      <w:r>
        <w:t>Answer:</w:t>
        <w:br/>
        <w:t>That's why we have three scenarios. The moderate scenario (recommended) only consolidates to 46 vendors - these are all capable companies already serving the City. During the RFP process, we would:</w:t>
        <w:br/>
        <w:br/>
        <w:t>• Assess vendor capacity and capabilities</w:t>
        <w:br/>
        <w:t>• Include performance bonds and guarantees</w:t>
        <w:br/>
        <w:t>• Require demonstrated experience at this scale</w:t>
        <w:br/>
        <w:t>• Build in backup vendor provisions</w:t>
        <w:br/>
        <w:t>• Phase implementation to manage risk</w:t>
        <w:br/>
        <w:br/>
        <w:t>The RFP process itself identifies vendors who can't scale up.</w:t>
      </w:r>
    </w:p>
    <w:p>
      <w:pPr>
        <w:pStyle w:val="Heading2"/>
      </w:pPr>
      <w:r>
        <w:t>Q3: Won't this eliminate small businesses?</w:t>
      </w:r>
    </w:p>
    <w:p>
      <w:r>
        <w:t>Answer:</w:t>
        <w:br/>
        <w:t>Not necessarily. The consolidation targets small CONTRACTS, not necessarily small BUSINESSES. Many options exist:</w:t>
        <w:br/>
        <w:br/>
        <w:t>• Small businesses can team with larger firms</w:t>
        <w:br/>
        <w:t>• Create set-asides for small business participation</w:t>
        <w:br/>
        <w:t>• Include small business subcontracting requirements</w:t>
        <w:br/>
        <w:t>• Tier contracts by size (large, medium, small work)</w:t>
        <w:br/>
        <w:t>• Geographic zones that favor local firms</w:t>
        <w:br/>
        <w:br/>
        <w:t>The goal is contract efficiency, not business exclusion. Policy objectives can be built into the RFP design.</w:t>
      </w:r>
    </w:p>
    <w:p>
      <w:pPr>
        <w:pStyle w:val="Heading2"/>
      </w:pPr>
      <w:r>
        <w:t>Q4: Why should we believe the inflation forecast?</w:t>
      </w:r>
    </w:p>
    <w:p>
      <w:r>
        <w:t>Answer:</w:t>
        <w:br/>
        <w:t>The 4.5% inflation rate comes from the Bureau of Labor Statistics (BLS), which tracks actual price changes in the landscaping services industry. This isn't a prediction - it's historical data showing what HAS happened.</w:t>
        <w:br/>
        <w:br/>
        <w:t>Conservative Approach:</w:t>
        <w:br/>
        <w:t>• We're using a 3-year window (not 5 or 10 years)</w:t>
        <w:br/>
        <w:t>• We're assuming NO additional inflation above the historical rate</w:t>
        <w:br/>
        <w:t>• We're NOT including other cost pressures (wage increases, fuel costs)</w:t>
        <w:br/>
        <w:t>• The actual inflation could be higher, making our estimate conservative</w:t>
      </w:r>
    </w:p>
    <w:p>
      <w:pPr>
        <w:pStyle w:val="Heading2"/>
      </w:pPr>
      <w:r>
        <w:t>Q5: How long will this take to implement?</w:t>
      </w:r>
    </w:p>
    <w:p>
      <w:r>
        <w:t>Answer:</w:t>
        <w:br/>
        <w:t>The moderate scenario requires 12-18 months for full implementation:</w:t>
        <w:br/>
        <w:br/>
        <w:t>• Months 1-3: Strategy development and executive approval</w:t>
        <w:br/>
        <w:t>• Months 4-9: RFP process and vendor selection</w:t>
        <w:br/>
        <w:t>• Months 10-12: Contract transitions and onboarding</w:t>
        <w:br/>
        <w:t>• Months 13-18: Performance monitoring and optimization</w:t>
        <w:br/>
        <w:br/>
        <w:t>Savings begin in Year 1 but ramp up over the implementation period. Full benefits realized by Month 18.</w:t>
      </w:r>
    </w:p>
    <w:p>
      <w:pPr>
        <w:pStyle w:val="Heading2"/>
      </w:pPr>
      <w:r>
        <w:t>Q6: What if service quality drops?</w:t>
      </w:r>
    </w:p>
    <w:p>
      <w:r>
        <w:t>Answer:</w:t>
        <w:br/>
        <w:t>Quality protection is built into the approach:</w:t>
        <w:br/>
        <w:br/>
        <w:t>• Performance-based contracts with clear SLAs (Service Level Agreements)</w:t>
        <w:br/>
        <w:t>• Financial penalties for non-performance</w:t>
        <w:br/>
        <w:t>• Regular quality audits and inspections</w:t>
        <w:br/>
        <w:t>• Customer satisfaction surveys</w:t>
        <w:br/>
        <w:t>• Performance dashboards with real-time monitoring</w:t>
        <w:br/>
        <w:t>• Ability to terminate for cause</w:t>
        <w:br/>
        <w:t>• Backup vendor provisions</w:t>
        <w:br/>
        <w:br/>
        <w:t>Strategic vendors have MORE incentive to perform well because they have larger contracts at stake.</w:t>
      </w:r>
    </w:p>
    <w:p>
      <w:pPr>
        <w:pStyle w:val="Heading2"/>
      </w:pPr>
      <w:r>
        <w:t>Q7: Why not go straight to the aggressive scenario for maximum savings?</w:t>
      </w:r>
    </w:p>
    <w:p>
      <w:r>
        <w:t>Answer:</w:t>
        <w:br/>
        <w:t>Risk management. The aggressive scenario:</w:t>
        <w:br/>
        <w:br/>
        <w:t>• Requires vendor capabilities that may not exist</w:t>
        <w:br/>
        <w:t>• Creates single points of failure</w:t>
        <w:br/>
        <w:t>• Lacks flexibility for specialized needs</w:t>
        <w:br/>
        <w:t>• Increases political and operational risk</w:t>
        <w:br/>
        <w:t>• Requires mature category management capabilities</w:t>
        <w:br/>
        <w:br/>
        <w:t>The moderate scenario balances significant savings ($22.8M) with manageable implementation risk. Once you successfully implement moderate consolidation, you can assess whether further consolidation makes sense.</w:t>
      </w:r>
    </w:p>
    <w:p>
      <w:pPr>
        <w:pStyle w:val="Heading2"/>
      </w:pPr>
      <w:r>
        <w:t>Q8: How did you calculate administrative savings?</w:t>
      </w:r>
    </w:p>
    <w:p>
      <w:r>
        <w:t>Answer:</w:t>
        <w:br/>
        <w:t>The $50,000 per vendor figure comes from time-and-activity analysis:</w:t>
        <w:br/>
        <w:br/>
        <w:t>• Contract manager time: 0.25 FTE @ $100K = $25,000</w:t>
        <w:br/>
        <w:t>• Invoice processing: ~50 invoices/year @ $200 each = $10,000</w:t>
        <w:br/>
        <w:t>• Onboarding/qualification: Annual update = $5,000</w:t>
        <w:br/>
        <w:t>• Performance reporting: Quarterly reviews = $5,000</w:t>
        <w:br/>
        <w:t>• Miscellaneous overhead: $5,000</w:t>
        <w:br/>
        <w:t>• Total: $50,000 per vendor per year</w:t>
        <w:br/>
        <w:br/>
        <w:t>This is a standard procurement cost metric used across government and private sector. Some studies show even higher costs ($75K-$100K per vendor).</w:t>
      </w:r>
    </w:p>
    <w:p>
      <w:r>
        <w:br w:type="page"/>
      </w:r>
    </w:p>
    <w:p>
      <w:pPr>
        <w:pStyle w:val="Heading1"/>
      </w:pPr>
      <w:r>
        <w:t>Section 9: Critical Success Factors</w:t>
      </w:r>
    </w:p>
    <w:p>
      <w:pPr>
        <w:pStyle w:val="Heading2"/>
      </w:pPr>
      <w:r>
        <w:t>What Makes This Work</w:t>
      </w:r>
    </w:p>
    <w:p>
      <w:pPr>
        <w:pStyle w:val="ListBullet"/>
      </w:pPr>
      <w:r>
        <w:t>Executive Sponsorship: Leadership commitment to category management approach</w:t>
      </w:r>
    </w:p>
    <w:p>
      <w:pPr>
        <w:pStyle w:val="ListBullet"/>
      </w:pPr>
      <w:r>
        <w:t>Cross-Departmental Coordination: CDOT and other departments aligned on strategy</w:t>
      </w:r>
    </w:p>
    <w:p>
      <w:pPr>
        <w:pStyle w:val="ListBullet"/>
      </w:pPr>
      <w:r>
        <w:t>Professional RFP Process: Clear requirements, objective evaluation, transparent selection</w:t>
      </w:r>
    </w:p>
    <w:p>
      <w:pPr>
        <w:pStyle w:val="ListBullet"/>
      </w:pPr>
      <w:r>
        <w:t>Change Management: Communication plan for stakeholders and current vendors</w:t>
      </w:r>
    </w:p>
    <w:p>
      <w:pPr>
        <w:pStyle w:val="ListBullet"/>
      </w:pPr>
      <w:r>
        <w:t>Category Management Expertise: Dedicated staff or consultant support</w:t>
      </w:r>
    </w:p>
    <w:p>
      <w:pPr>
        <w:pStyle w:val="ListBullet"/>
      </w:pPr>
      <w:r>
        <w:t>Performance Management: Clear metrics and monitoring from day one</w:t>
      </w:r>
    </w:p>
    <w:p>
      <w:pPr>
        <w:pStyle w:val="ListBullet"/>
      </w:pPr>
      <w:r>
        <w:t>Stakeholder Engagement: Input from department users throughout process</w:t>
      </w:r>
    </w:p>
    <w:p>
      <w:pPr>
        <w:pStyle w:val="Heading2"/>
      </w:pPr>
      <w:r>
        <w:t>What Could Go Wrong (and How to Prevent It)</w:t>
      </w:r>
    </w:p>
    <w:tbl>
      <w:tblPr>
        <w:tblStyle w:val="LightGrid-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Vendor protests or legal challenges</w:t>
            </w:r>
          </w:p>
        </w:tc>
        <w:tc>
          <w:tcPr>
            <w:tcW w:type="dxa" w:w="4320"/>
          </w:tcPr>
          <w:p>
            <w:r>
              <w:t>Follow procurement rules meticulously, document all decisions, objective scoring</w:t>
            </w:r>
          </w:p>
        </w:tc>
      </w:tr>
      <w:tr>
        <w:tc>
          <w:tcPr>
            <w:tcW w:type="dxa" w:w="4320"/>
          </w:tcPr>
          <w:p>
            <w:r>
              <w:t>Service quality issues during transition</w:t>
            </w:r>
          </w:p>
        </w:tc>
        <w:tc>
          <w:tcPr>
            <w:tcW w:type="dxa" w:w="4320"/>
          </w:tcPr>
          <w:p>
            <w:r>
              <w:t>Phased implementation, overlap periods, strong contract management</w:t>
            </w:r>
          </w:p>
        </w:tc>
      </w:tr>
      <w:tr>
        <w:tc>
          <w:tcPr>
            <w:tcW w:type="dxa" w:w="4320"/>
          </w:tcPr>
          <w:p>
            <w:r>
              <w:t>Political pressure to keep certain vendors</w:t>
            </w:r>
          </w:p>
        </w:tc>
        <w:tc>
          <w:tcPr>
            <w:tcW w:type="dxa" w:w="4320"/>
          </w:tcPr>
          <w:p>
            <w:r>
              <w:t>Data-driven decisions, transparent process, clear policy framework</w:t>
            </w:r>
          </w:p>
        </w:tc>
      </w:tr>
    </w:tbl>
    <w:p>
      <w:r>
        <w:br w:type="page"/>
      </w:r>
    </w:p>
    <w:p>
      <w:pPr>
        <w:pStyle w:val="Heading1"/>
      </w:pPr>
      <w:r>
        <w:t>Section 10: Recommended Next Steps</w:t>
      </w:r>
    </w:p>
    <w:p>
      <w:r>
        <w:t>1. Present analysis to executive leadership for strategic direction</w:t>
      </w:r>
    </w:p>
    <w:p>
      <w:r>
        <w:t>2. Secure executive sponsorship and budget for category management initiative</w:t>
      </w:r>
    </w:p>
    <w:p>
      <w:r>
        <w:t>3. Assign dedicated project team (procurement, operations, finance)</w:t>
      </w:r>
    </w:p>
    <w:p>
      <w:r>
        <w:t>4. Conduct stakeholder workshops with department users</w:t>
      </w:r>
    </w:p>
    <w:p>
      <w:r>
        <w:t>5. Develop detailed category strategy for top 3 service categories</w:t>
      </w:r>
    </w:p>
    <w:p>
      <w:r>
        <w:t>6. Design RFP process and evaluation criteria</w:t>
      </w:r>
    </w:p>
    <w:p>
      <w:r>
        <w:t>7. Create change management and communication plan</w:t>
      </w:r>
    </w:p>
    <w:p>
      <w:r>
        <w:t>8. Launch pilot consolidation in one service category</w:t>
      </w:r>
    </w:p>
    <w:p>
      <w:r>
        <w:t>9. Scale to remaining categories based on pilot results</w:t>
      </w:r>
    </w:p>
    <w:p>
      <w:pPr>
        <w:pStyle w:val="Heading2"/>
      </w:pPr>
      <w:r>
        <w:t>Timeline to First Dollar Saved</w:t>
      </w:r>
    </w:p>
    <w:p>
      <w:r>
        <w:t>Realistic Timeline:</w:t>
        <w:br/>
        <w:t>• Month 1-2: Executive approval and project setup</w:t>
        <w:br/>
        <w:t>• Month 3-4: Category strategy development</w:t>
        <w:br/>
        <w:t>• Month 5-8: RFP process (draft, release, evaluate, award)</w:t>
        <w:br/>
        <w:t>• Month 9-12: Contract transitions</w:t>
        <w:br/>
        <w:t>• Month 12+: Savings begin to materialize</w:t>
        <w:br/>
        <w:br/>
        <w:t>First measurable savings typically appear 12 months after project launch.</w:t>
      </w:r>
    </w:p>
    <w:p>
      <w:r>
        <w:br w:type="page"/>
      </w:r>
    </w:p>
    <w:p>
      <w:pPr>
        <w:pStyle w:val="Heading1"/>
      </w:pPr>
      <w:r>
        <w:t>Appendix: Quick Reference Tables</w:t>
      </w:r>
    </w:p>
    <w:p>
      <w:pPr>
        <w:pStyle w:val="Heading2"/>
      </w:pPr>
      <w:r>
        <w:t>Consolidation Scenarios at a Glance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Target Vendors</w:t>
            </w:r>
          </w:p>
        </w:tc>
        <w:tc>
          <w:tcPr>
            <w:tcW w:type="dxa" w:w="1728"/>
          </w:tcPr>
          <w:p>
            <w:r>
              <w:t>Reduction %</w:t>
            </w:r>
          </w:p>
        </w:tc>
        <w:tc>
          <w:tcPr>
            <w:tcW w:type="dxa" w:w="1728"/>
          </w:tcPr>
          <w:p>
            <w:r>
              <w:t>Annual Savings</w:t>
            </w:r>
          </w:p>
        </w:tc>
        <w:tc>
          <w:tcPr>
            <w:tcW w:type="dxa" w:w="1728"/>
          </w:tcPr>
          <w:p>
            <w:r>
              <w:t>Risk Level</w:t>
            </w:r>
          </w:p>
        </w:tc>
      </w:tr>
      <w:tr>
        <w:tc>
          <w:tcPr>
            <w:tcW w:type="dxa" w:w="1728"/>
          </w:tcPr>
          <w:p>
            <w:r>
              <w:t>Conservative</w:t>
            </w:r>
          </w:p>
        </w:tc>
        <w:tc>
          <w:tcPr>
            <w:tcW w:type="dxa" w:w="1728"/>
          </w:tcPr>
          <w:p>
            <w:r>
              <w:t>62</w:t>
            </w:r>
          </w:p>
        </w:tc>
        <w:tc>
          <w:tcPr>
            <w:tcW w:type="dxa" w:w="1728"/>
          </w:tcPr>
          <w:p>
            <w:r>
              <w:t>26%</w:t>
            </w:r>
          </w:p>
        </w:tc>
        <w:tc>
          <w:tcPr>
            <w:tcW w:type="dxa" w:w="1728"/>
          </w:tcPr>
          <w:p>
            <w:r>
              <w:t>$11.5M</w:t>
            </w:r>
          </w:p>
        </w:tc>
        <w:tc>
          <w:tcPr>
            <w:tcW w:type="dxa" w:w="1728"/>
          </w:tcPr>
          <w:p>
            <w:r>
              <w:t>Low</w:t>
            </w:r>
          </w:p>
        </w:tc>
      </w:tr>
      <w:tr>
        <w:tc>
          <w:tcPr>
            <w:tcW w:type="dxa" w:w="1728"/>
          </w:tcPr>
          <w:p>
            <w:r>
              <w:t>Moderate (REC)</w:t>
            </w:r>
          </w:p>
        </w:tc>
        <w:tc>
          <w:tcPr>
            <w:tcW w:type="dxa" w:w="1728"/>
          </w:tcPr>
          <w:p>
            <w:r>
              <w:t>46</w:t>
            </w:r>
          </w:p>
        </w:tc>
        <w:tc>
          <w:tcPr>
            <w:tcW w:type="dxa" w:w="1728"/>
          </w:tcPr>
          <w:p>
            <w:r>
              <w:t>45%</w:t>
            </w:r>
          </w:p>
        </w:tc>
        <w:tc>
          <w:tcPr>
            <w:tcW w:type="dxa" w:w="1728"/>
          </w:tcPr>
          <w:p>
            <w:r>
              <w:t>$22.8M</w:t>
            </w:r>
          </w:p>
        </w:tc>
        <w:tc>
          <w:tcPr>
            <w:tcW w:type="dxa" w:w="1728"/>
          </w:tcPr>
          <w:p>
            <w:r>
              <w:t>Moderate</w:t>
            </w:r>
          </w:p>
        </w:tc>
      </w:tr>
      <w:tr>
        <w:tc>
          <w:tcPr>
            <w:tcW w:type="dxa" w:w="1728"/>
          </w:tcPr>
          <w:p>
            <w:r>
              <w:t>Aggressive</w:t>
            </w:r>
          </w:p>
        </w:tc>
        <w:tc>
          <w:tcPr>
            <w:tcW w:type="dxa" w:w="1728"/>
          </w:tcPr>
          <w:p>
            <w:r>
              <w:t>29</w:t>
            </w:r>
          </w:p>
        </w:tc>
        <w:tc>
          <w:tcPr>
            <w:tcW w:type="dxa" w:w="1728"/>
          </w:tcPr>
          <w:p>
            <w:r>
              <w:t>65%</w:t>
            </w:r>
          </w:p>
        </w:tc>
        <w:tc>
          <w:tcPr>
            <w:tcW w:type="dxa" w:w="1728"/>
          </w:tcPr>
          <w:p>
            <w:r>
              <w:t>$36.7M</w:t>
            </w:r>
          </w:p>
        </w:tc>
        <w:tc>
          <w:tcPr>
            <w:tcW w:type="dxa" w:w="1728"/>
          </w:tcPr>
          <w:p>
            <w:r>
              <w:t>High</w:t>
            </w:r>
          </w:p>
        </w:tc>
      </w:tr>
    </w:tbl>
    <w:p/>
    <w:p>
      <w:pPr>
        <w:pStyle w:val="Heading2"/>
      </w:pPr>
      <w:r>
        <w:t>Service Categories Ranked by Spend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Service Category</w:t>
            </w:r>
          </w:p>
        </w:tc>
        <w:tc>
          <w:tcPr>
            <w:tcW w:type="dxa" w:w="2160"/>
          </w:tcPr>
          <w:p>
            <w:r>
              <w:t>Spend</w:t>
            </w:r>
          </w:p>
        </w:tc>
        <w:tc>
          <w:tcPr>
            <w:tcW w:type="dxa" w:w="2160"/>
          </w:tcPr>
          <w:p>
            <w:r>
              <w:t>% of Total</w:t>
            </w:r>
          </w:p>
        </w:tc>
      </w:tr>
      <w:tr>
        <w:tc>
          <w:tcPr>
            <w:tcW w:type="dxa" w:w="2160"/>
          </w:tcPr>
          <w:p>
            <w:r>
              <w:t>1</w:t>
            </w:r>
          </w:p>
        </w:tc>
        <w:tc>
          <w:tcPr>
            <w:tcW w:type="dxa" w:w="2160"/>
          </w:tcPr>
          <w:p>
            <w:r>
              <w:t>Comprehensive Landscape Services</w:t>
            </w:r>
          </w:p>
        </w:tc>
        <w:tc>
          <w:tcPr>
            <w:tcW w:type="dxa" w:w="2160"/>
          </w:tcPr>
          <w:p>
            <w:r>
              <w:t>$84.8M</w:t>
            </w:r>
          </w:p>
        </w:tc>
        <w:tc>
          <w:tcPr>
            <w:tcW w:type="dxa" w:w="2160"/>
          </w:tcPr>
          <w:p>
            <w:r>
              <w:t>32.5%</w:t>
            </w:r>
          </w:p>
        </w:tc>
      </w:tr>
      <w:tr>
        <w:tc>
          <w:tcPr>
            <w:tcW w:type="dxa" w:w="2160"/>
          </w:tcPr>
          <w:p>
            <w:r>
              <w:t>2</w:t>
            </w:r>
          </w:p>
        </w:tc>
        <w:tc>
          <w:tcPr>
            <w:tcW w:type="dxa" w:w="2160"/>
          </w:tcPr>
          <w:p>
            <w:r>
              <w:t>Median Maintenance</w:t>
            </w:r>
          </w:p>
        </w:tc>
        <w:tc>
          <w:tcPr>
            <w:tcW w:type="dxa" w:w="2160"/>
          </w:tcPr>
          <w:p>
            <w:r>
              <w:t>$76.2M</w:t>
            </w:r>
          </w:p>
        </w:tc>
        <w:tc>
          <w:tcPr>
            <w:tcW w:type="dxa" w:w="2160"/>
          </w:tcPr>
          <w:p>
            <w:r>
              <w:t>29.2%</w:t>
            </w:r>
          </w:p>
        </w:tc>
      </w:tr>
      <w:tr>
        <w:tc>
          <w:tcPr>
            <w:tcW w:type="dxa" w:w="2160"/>
          </w:tcPr>
          <w:p>
            <w:r>
              <w:t>3</w:t>
            </w:r>
          </w:p>
        </w:tc>
        <w:tc>
          <w:tcPr>
            <w:tcW w:type="dxa" w:w="2160"/>
          </w:tcPr>
          <w:p>
            <w:r>
              <w:t>Median &amp; Boulevard Maintenance</w:t>
            </w:r>
          </w:p>
        </w:tc>
        <w:tc>
          <w:tcPr>
            <w:tcW w:type="dxa" w:w="2160"/>
          </w:tcPr>
          <w:p>
            <w:r>
              <w:t>$50.0M</w:t>
            </w:r>
          </w:p>
        </w:tc>
        <w:tc>
          <w:tcPr>
            <w:tcW w:type="dxa" w:w="2160"/>
          </w:tcPr>
          <w:p>
            <w:r>
              <w:t>19.2%</w:t>
            </w:r>
          </w:p>
        </w:tc>
      </w:tr>
      <w:tr>
        <w:tc>
          <w:tcPr>
            <w:tcW w:type="dxa" w:w="2160"/>
          </w:tcPr>
          <w:p>
            <w:r>
              <w:t>4</w:t>
            </w:r>
          </w:p>
        </w:tc>
        <w:tc>
          <w:tcPr>
            <w:tcW w:type="dxa" w:w="2160"/>
          </w:tcPr>
          <w:p>
            <w:r>
              <w:t>Other Landscape Services</w:t>
            </w:r>
          </w:p>
        </w:tc>
        <w:tc>
          <w:tcPr>
            <w:tcW w:type="dxa" w:w="2160"/>
          </w:tcPr>
          <w:p>
            <w:r>
              <w:t>$28.4M</w:t>
            </w:r>
          </w:p>
        </w:tc>
        <w:tc>
          <w:tcPr>
            <w:tcW w:type="dxa" w:w="2160"/>
          </w:tcPr>
          <w:p>
            <w:r>
              <w:t>10.9%</w:t>
            </w:r>
          </w:p>
        </w:tc>
      </w:tr>
      <w:tr>
        <w:tc>
          <w:tcPr>
            <w:tcW w:type="dxa" w:w="2160"/>
          </w:tcPr>
          <w:p>
            <w:r>
              <w:t>5</w:t>
            </w:r>
          </w:p>
        </w:tc>
        <w:tc>
          <w:tcPr>
            <w:tcW w:type="dxa" w:w="2160"/>
          </w:tcPr>
          <w:p>
            <w:r>
              <w:t>Equipment &amp; Supplies</w:t>
            </w:r>
          </w:p>
        </w:tc>
        <w:tc>
          <w:tcPr>
            <w:tcW w:type="dxa" w:w="2160"/>
          </w:tcPr>
          <w:p>
            <w:r>
              <w:t>$5.8M</w:t>
            </w:r>
          </w:p>
        </w:tc>
        <w:tc>
          <w:tcPr>
            <w:tcW w:type="dxa" w:w="2160"/>
          </w:tcPr>
          <w:p>
            <w:r>
              <w:t>2.2%</w:t>
            </w:r>
          </w:p>
        </w:tc>
      </w:tr>
      <w:tr>
        <w:tc>
          <w:tcPr>
            <w:tcW w:type="dxa" w:w="2160"/>
          </w:tcPr>
          <w:p>
            <w:r>
              <w:t>6</w:t>
            </w:r>
          </w:p>
        </w:tc>
        <w:tc>
          <w:tcPr>
            <w:tcW w:type="dxa" w:w="2160"/>
          </w:tcPr>
          <w:p>
            <w:r>
              <w:t>General Landscape Maintenance</w:t>
            </w:r>
          </w:p>
        </w:tc>
        <w:tc>
          <w:tcPr>
            <w:tcW w:type="dxa" w:w="2160"/>
          </w:tcPr>
          <w:p>
            <w:r>
              <w:t>$5.7M</w:t>
            </w:r>
          </w:p>
        </w:tc>
        <w:tc>
          <w:tcPr>
            <w:tcW w:type="dxa" w:w="2160"/>
          </w:tcPr>
          <w:p>
            <w:r>
              <w:t>2.2%</w:t>
            </w:r>
          </w:p>
        </w:tc>
      </w:tr>
      <w:tr>
        <w:tc>
          <w:tcPr>
            <w:tcW w:type="dxa" w:w="2160"/>
          </w:tcPr>
          <w:p>
            <w:r>
              <w:t>7</w:t>
            </w:r>
          </w:p>
        </w:tc>
        <w:tc>
          <w:tcPr>
            <w:tcW w:type="dxa" w:w="2160"/>
          </w:tcPr>
          <w:p>
            <w:r>
              <w:t>Design &amp; Engineering Services</w:t>
            </w:r>
          </w:p>
        </w:tc>
        <w:tc>
          <w:tcPr>
            <w:tcW w:type="dxa" w:w="2160"/>
          </w:tcPr>
          <w:p>
            <w:r>
              <w:t>$5.4M</w:t>
            </w:r>
          </w:p>
        </w:tc>
        <w:tc>
          <w:tcPr>
            <w:tcW w:type="dxa" w:w="2160"/>
          </w:tcPr>
          <w:p>
            <w:r>
              <w:t>2.1%</w:t>
            </w:r>
          </w:p>
        </w:tc>
      </w:tr>
      <w:tr>
        <w:tc>
          <w:tcPr>
            <w:tcW w:type="dxa" w:w="2160"/>
          </w:tcPr>
          <w:p>
            <w:r>
              <w:t>8</w:t>
            </w:r>
          </w:p>
        </w:tc>
        <w:tc>
          <w:tcPr>
            <w:tcW w:type="dxa" w:w="2160"/>
          </w:tcPr>
          <w:p>
            <w:r>
              <w:t>Streetscape/Urban Landscape</w:t>
            </w:r>
          </w:p>
        </w:tc>
        <w:tc>
          <w:tcPr>
            <w:tcW w:type="dxa" w:w="2160"/>
          </w:tcPr>
          <w:p>
            <w:r>
              <w:t>$2.6M</w:t>
            </w:r>
          </w:p>
        </w:tc>
        <w:tc>
          <w:tcPr>
            <w:tcW w:type="dxa" w:w="2160"/>
          </w:tcPr>
          <w:p>
            <w:r>
              <w:t>1.0%</w:t>
            </w:r>
          </w:p>
        </w:tc>
      </w:tr>
      <w:tr>
        <w:tc>
          <w:tcPr>
            <w:tcW w:type="dxa" w:w="2160"/>
          </w:tcPr>
          <w:p>
            <w:r>
              <w:t>9</w:t>
            </w:r>
          </w:p>
        </w:tc>
        <w:tc>
          <w:tcPr>
            <w:tcW w:type="dxa" w:w="2160"/>
          </w:tcPr>
          <w:p>
            <w:r>
              <w:t>Tree Pit Maintenance</w:t>
            </w:r>
          </w:p>
        </w:tc>
        <w:tc>
          <w:tcPr>
            <w:tcW w:type="dxa" w:w="2160"/>
          </w:tcPr>
          <w:p>
            <w:r>
              <w:t>$2.4M</w:t>
            </w:r>
          </w:p>
        </w:tc>
        <w:tc>
          <w:tcPr>
            <w:tcW w:type="dxa" w:w="2160"/>
          </w:tcPr>
          <w:p>
            <w:r>
              <w:t>0.9%</w:t>
            </w:r>
          </w:p>
        </w:tc>
      </w:tr>
    </w:tbl>
    <w:p/>
    <w:p>
      <w:pPr>
        <w:pStyle w:val="Heading2"/>
      </w:pPr>
      <w:r>
        <w:t>Contact Information</w:t>
      </w:r>
    </w:p>
    <w:p>
      <w:r>
        <w:t>For questions about this analysis or methodology:</w:t>
        <w:br/>
        <w:br/>
        <w:t>• Spend Analysis Team</w:t>
        <w:br/>
        <w:t>• City of Chicago Department of Procurement Services</w:t>
        <w:br/>
        <w:t>• Email: [To be provided]</w:t>
        <w:br/>
        <w:t>• Phone: [To be provided]</w:t>
      </w:r>
    </w:p>
    <w:p/>
    <w:p>
      <w:pPr>
        <w:jc w:val="center"/>
      </w:pPr>
      <w:r>
        <w:rPr>
          <w:i/>
          <w:sz w:val="18"/>
        </w:rPr>
        <w:t>This document is intended for internal City of Chicago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