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2026-08-18  •  General &amp; Other + Examples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5</w:t>
      </w:r>
      <w:r>
        <w:rPr>
          <w:rFonts w:ascii="Calibri" w:hAnsi="Calibri"/>
          <w:sz w:val="22"/>
        </w:rPr>
        <w:t xml:space="preserve">  Read the report on screen, then click Download full spend report (Excel) for the formatted, multi-tab workbook.</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runs whatever the data supports. It never invents data it doesn't have; if a column isn't present, the dependent analysis is skipped with a note. Your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Which of these run depends on what your file contains. The tool includes every one the data supports and skips the rest.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Spend Trend</w:t>
            </w:r>
          </w:p>
        </w:tc>
        <w:tc>
          <w:tcPr>
            <w:tcW w:type="dxa" w:w="4139"/>
          </w:tcPr>
          <w:p>
            <w:r>
              <w:rPr>
                <w:rFonts w:ascii="Calibri" w:hAnsi="Calibri"/>
                <w:sz w:val="19"/>
              </w:rPr>
              <w:t>Spend by year with year-over-year change</w:t>
            </w:r>
          </w:p>
        </w:tc>
        <w:tc>
          <w:tcPr>
            <w:tcW w:type="dxa" w:w="2835"/>
          </w:tcPr>
          <w:p>
            <w:r>
              <w:rPr>
                <w:rFonts w:ascii="Calibri" w:hAnsi="Calibri"/>
                <w:sz w:val="19"/>
              </w:rPr>
              <w:t>Is spend rising or falling; when it peaked</w:t>
            </w:r>
          </w:p>
        </w:tc>
      </w:tr>
      <w:tr>
        <w:tc>
          <w:tcPr>
            <w:tcW w:type="dxa" w:w="2381"/>
            <w:shd w:val="clear" w:color="auto" w:fill="D6EEF9"/>
          </w:tcPr>
          <w:p>
            <w:r>
              <w:rPr>
                <w:rFonts w:ascii="Calibri" w:hAnsi="Calibri"/>
                <w:sz w:val="19"/>
              </w:rPr>
              <w:t>Vendor Concentration</w:t>
            </w:r>
          </w:p>
        </w:tc>
        <w:tc>
          <w:tcPr>
            <w:tcW w:type="dxa" w:w="4139"/>
            <w:shd w:val="clear" w:color="auto" w:fill="D6EEF9"/>
          </w:tcPr>
          <w:p>
            <w:r>
              <w:rPr>
                <w:rFonts w:ascii="Calibri" w:hAnsi="Calibri"/>
                <w:sz w:val="19"/>
              </w:rPr>
              <w:t>Top-1/5/10 vendor share and an HHI score</w:t>
            </w:r>
          </w:p>
        </w:tc>
        <w:tc>
          <w:tcPr>
            <w:tcW w:type="dxa" w:w="2835"/>
            <w:shd w:val="clear" w:color="auto" w:fill="D6EEF9"/>
          </w:tcPr>
          <w:p>
            <w:r>
              <w:rPr>
                <w:rFonts w:ascii="Calibri" w:hAnsi="Calibri"/>
                <w:sz w:val="19"/>
              </w:rPr>
              <w:t>How dependent are we on a few suppliers</w:t>
            </w:r>
          </w:p>
        </w:tc>
      </w:tr>
      <w:tr>
        <w:tc>
          <w:tcPr>
            <w:tcW w:type="dxa" w:w="2381"/>
          </w:tcPr>
          <w:p>
            <w:r>
              <w:rPr>
                <w:rFonts w:ascii="Calibri" w:hAnsi="Calibri"/>
                <w:sz w:val="19"/>
              </w:rPr>
              <w:t>Tail-Spend</w:t>
            </w:r>
          </w:p>
        </w:tc>
        <w:tc>
          <w:tcPr>
            <w:tcW w:type="dxa" w:w="4139"/>
          </w:tcPr>
          <w:p>
            <w:r>
              <w:rPr>
                <w:rFonts w:ascii="Calibri" w:hAnsi="Calibri"/>
                <w:sz w:val="19"/>
              </w:rPr>
              <w:t>The many small vendors making up the last ~20%</w:t>
            </w:r>
          </w:p>
        </w:tc>
        <w:tc>
          <w:tcPr>
            <w:tcW w:type="dxa" w:w="2835"/>
          </w:tcPr>
          <w:p>
            <w:r>
              <w:rPr>
                <w:rFonts w:ascii="Calibri" w:hAnsi="Calibri"/>
                <w:sz w:val="19"/>
              </w:rPr>
              <w:t>The classic consolidation target</w:t>
            </w:r>
          </w:p>
        </w:tc>
      </w:tr>
      <w:tr>
        <w:tc>
          <w:tcPr>
            <w:tcW w:type="dxa" w:w="2381"/>
            <w:shd w:val="clear" w:color="auto" w:fill="D6EEF9"/>
          </w:tcPr>
          <w:p>
            <w:r>
              <w:rPr>
                <w:rFonts w:ascii="Calibri" w:hAnsi="Calibri"/>
                <w:sz w:val="19"/>
              </w:rPr>
              <w:t>Single- vs Multi-Source</w:t>
            </w:r>
          </w:p>
        </w:tc>
        <w:tc>
          <w:tcPr>
            <w:tcW w:type="dxa" w:w="4139"/>
            <w:shd w:val="clear" w:color="auto" w:fill="D6EEF9"/>
          </w:tcPr>
          <w:p>
            <w:r>
              <w:rPr>
                <w:rFonts w:ascii="Calibri" w:hAnsi="Calibri"/>
                <w:sz w:val="19"/>
              </w:rPr>
              <w:t>Categories bought from one vendor vs. many</w:t>
            </w:r>
          </w:p>
        </w:tc>
        <w:tc>
          <w:tcPr>
            <w:tcW w:type="dxa" w:w="2835"/>
            <w:shd w:val="clear" w:color="auto" w:fill="D6EEF9"/>
          </w:tcPr>
          <w:p>
            <w:r>
              <w:rPr>
                <w:rFonts w:ascii="Calibri" w:hAnsi="Calibri"/>
                <w:sz w:val="19"/>
              </w:rPr>
              <w:t>Vendor rationalization &amp; supply risk</w:t>
            </w:r>
          </w:p>
        </w:tc>
      </w:tr>
      <w:tr>
        <w:tc>
          <w:tcPr>
            <w:tcW w:type="dxa" w:w="2381"/>
          </w:tcPr>
          <w:p>
            <w:r>
              <w:rPr>
                <w:rFonts w:ascii="Calibri" w:hAnsi="Calibri"/>
                <w:sz w:val="19"/>
              </w:rPr>
              <w:t>Spend by Department</w:t>
            </w:r>
          </w:p>
        </w:tc>
        <w:tc>
          <w:tcPr>
            <w:tcW w:type="dxa" w:w="4139"/>
          </w:tcPr>
          <w:p>
            <w:r>
              <w:rPr>
                <w:rFonts w:ascii="Calibri" w:hAnsi="Calibri"/>
                <w:sz w:val="19"/>
              </w:rPr>
              <w:t>Which departments spend, and on what</w:t>
            </w:r>
          </w:p>
        </w:tc>
        <w:tc>
          <w:tcPr>
            <w:tcW w:type="dxa" w:w="2835"/>
          </w:tcPr>
          <w:p>
            <w:r>
              <w:rPr>
                <w:rFonts w:ascii="Calibri" w:hAnsi="Calibri"/>
                <w:sz w:val="19"/>
              </w:rPr>
              <w:t>Cross-department demand</w:t>
            </w:r>
          </w:p>
        </w:tc>
      </w:tr>
      <w:tr>
        <w:tc>
          <w:tcPr>
            <w:tcW w:type="dxa" w:w="2381"/>
            <w:shd w:val="clear" w:color="auto" w:fill="D6EEF9"/>
          </w:tcPr>
          <w:p>
            <w:r>
              <w:rPr>
                <w:rFonts w:ascii="Calibri" w:hAnsi="Calibri"/>
                <w:sz w:val="19"/>
              </w:rPr>
              <w:t>Category × Dept Matrix</w:t>
            </w:r>
          </w:p>
        </w:tc>
        <w:tc>
          <w:tcPr>
            <w:tcW w:type="dxa" w:w="4139"/>
            <w:shd w:val="clear" w:color="auto" w:fill="D6EEF9"/>
          </w:tcPr>
          <w:p>
            <w:r>
              <w:rPr>
                <w:rFonts w:ascii="Calibri" w:hAnsi="Calibri"/>
                <w:sz w:val="19"/>
              </w:rPr>
              <w:t>Same commodity bought across many departments</w:t>
            </w:r>
          </w:p>
        </w:tc>
        <w:tc>
          <w:tcPr>
            <w:tcW w:type="dxa" w:w="2835"/>
            <w:shd w:val="clear" w:color="auto" w:fill="D6EEF9"/>
          </w:tcPr>
          <w:p>
            <w:r>
              <w:rPr>
                <w:rFonts w:ascii="Calibri" w:hAnsi="Calibri"/>
                <w:sz w:val="19"/>
              </w:rPr>
              <w:t>Cross-department leverage</w:t>
            </w:r>
          </w:p>
        </w:tc>
      </w:tr>
      <w:tr>
        <w:tc>
          <w:tcPr>
            <w:tcW w:type="dxa" w:w="2381"/>
          </w:tcPr>
          <w:p>
            <w:r>
              <w:rPr>
                <w:rFonts w:ascii="Calibri" w:hAnsi="Calibri"/>
                <w:sz w:val="19"/>
              </w:rPr>
              <w:t>Spend by Dimension</w:t>
            </w:r>
          </w:p>
        </w:tc>
        <w:tc>
          <w:tcPr>
            <w:tcW w:type="dxa" w:w="4139"/>
          </w:tcPr>
          <w:p>
            <w:r>
              <w:rPr>
                <w:rFonts w:ascii="Calibri" w:hAnsi="Calibri"/>
                <w:sz w:val="19"/>
              </w:rPr>
              <w:t>Breakdown by any flag (contract, diversity, status)</w:t>
            </w:r>
          </w:p>
        </w:tc>
        <w:tc>
          <w:tcPr>
            <w:tcW w:type="dxa" w:w="2835"/>
          </w:tcPr>
          <w:p>
            <w:r>
              <w:rPr>
                <w:rFonts w:ascii="Calibri" w:hAnsi="Calibri"/>
                <w:sz w:val="19"/>
              </w:rPr>
              <w:t>Compliance &amp; policy questions</w:t>
            </w:r>
          </w:p>
        </w:tc>
      </w:tr>
    </w:tbl>
    <w:p>
      <w:pPr>
        <w:pBdr>
          <w:bottom w:val="single" w:sz="18" w:space="1" w:color="41B6E6"/>
        </w:pBdr>
        <w:spacing w:before="280" w:after="120"/>
      </w:pPr>
      <w:r>
        <w:rPr>
          <w:rFonts w:ascii="Calibri" w:hAnsi="Calibri"/>
          <w:b/>
          <w:color w:val="002F6C"/>
          <w:sz w:val="32"/>
        </w:rPr>
        <w:t>4.  EVERY ROW LANDS IN A REAL CATEGORY</w:t>
      </w:r>
    </w:p>
    <w:p>
      <w:pPr>
        <w:spacing w:after="120"/>
      </w:pPr>
      <w:r>
        <w:rPr>
          <w:rFonts w:ascii="Calibri" w:hAnsi="Calibri"/>
          <w:sz w:val="22"/>
        </w:rPr>
        <w:t>There is no "Unclassified" line in a spend report. Every row is placed in one of the 17 Business Categories, or — when its description doesn't match a specific-commodity rule yet — in a single, honest catch-all called "General &amp; Other Procurement." The dollars are always counted, so the report total reconciles to your file exactly.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WHAT “GENERAL &amp; OTHER PROCUREMENT” MEANS</w:t>
            </w:r>
          </w:p>
          <w:p>
            <w:r>
              <w:rPr>
                <w:rFonts w:ascii="Calibri" w:hAnsi="Calibri"/>
                <w:color w:val="002F6C"/>
                <w:sz w:val="22"/>
              </w:rPr>
              <w:t>It is the catch-all for purchases whose description doesn't yet map to a specific commodity — often invoice-reconciliation lines, one-off administrative entries, or descriptions the rule library hasn't learned. It is a real reporting category, not an error. The Spend by Category table includes an Examples column that shows representative descriptions from every category — including this one — so leadership can see exactly what sits inside it. To move spend out of it, add keyword rules for the most common descriptions shown in its Examples; those buys then flow into specific commodity categories.</w:t>
            </w:r>
          </w:p>
        </w:tc>
      </w:tr>
    </w:tbl>
    <w:p>
      <w:pPr>
        <w:spacing w:after="120"/>
      </w:pP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5.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 The General &amp; Other catch-all is excluded here — it isn't a single commodity to focus sourcing on.</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It is laid out as a matrix: each department is its own column (spend), shaded cells show which departments bought the commodity, and any commodity bought across two or more departments is highlighted as a consolidation target. The top consolidatable items also appear in the Executive Summary.</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6.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7.  HONEST LIMITS</w:t>
      </w:r>
    </w:p>
    <w:p>
      <w:pPr>
        <w:spacing w:after="120"/>
      </w:pPr>
      <w:r>
        <w:rPr>
          <w:rFonts w:ascii="Calibri" w:hAnsi="Calibri"/>
          <w:sz w:val="22"/>
        </w:rPr>
        <w:t>The rules were tuned on one agency's vocabulary, so on a very different dataset the General &amp; Other share can be larger at first. That is expected and fixable: the Examples column points to the most common unmatched descriptions, and adding a few keyword rules for them moves that spend into specific categories with no new tools and no AI. The tool classifies from description text only — it does not read vendor names or any prior codes — which is what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