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CITY OF CHICAGO</w:t>
        <w:br/>
        <w:t>LIKE-ITEM CONSOLIDATION ANALYSIS</w:t>
        <w:br/>
        <w:t>LEADERSHIP BRIEFING</w:t>
      </w:r>
    </w:p>
    <w:p>
      <w:pPr>
        <w:jc w:val="center"/>
      </w:pPr>
      <w:r>
        <w:rPr>
          <w:color w:val="666666"/>
          <w:sz w:val="20"/>
        </w:rPr>
        <w:t>Prepared: 2026-03-24</w:t>
        <w:br/>
        <w:t>Data Source: Exhibit B Report, January 2021 – January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FINDINGS</w:t>
      </w:r>
    </w:p>
    <w:p>
      <w:pPr>
        <w:spacing w:after="120"/>
      </w:pPr>
      <w:r>
        <w:rPr>
          <w:b w:val="0"/>
          <w:i w:val="0"/>
          <w:sz w:val="22"/>
        </w:rPr>
        <w:t>Analysis of 4,372 approved Exhibit B requisitions totaling $262,222,363.85 across 32 departments over 6 years reveals significant consolidation opportunities.</w:t>
      </w:r>
    </w:p>
    <w:p>
      <w:pPr>
        <w:spacing w:after="120"/>
      </w:pPr>
      <w:r>
        <w:rPr>
          <w:b/>
          <w:i w:val="0"/>
          <w:sz w:val="22"/>
        </w:rPr>
        <w:t>Key finding: 18 item categories are purchased by multiple departments from multiple vendors with zero contract coverage, representing $37,658,658.39 in 5-year spend ($5,334,976.61 in annual addressable spend).</w:t>
      </w:r>
    </w:p>
    <w:p>
      <w:pPr>
        <w:pStyle w:val="Heading2"/>
      </w:pPr>
      <w:r>
        <w:rPr>
          <w:color w:val="003366"/>
        </w:rPr>
        <w:t>Top 5 Consolidation Targets</w:t>
      </w:r>
    </w:p>
    <w:p>
      <w:pPr>
        <w:pStyle w:val="ListBullet"/>
      </w:pPr>
      <w:r>
        <w:rPr>
          <w:sz w:val="22"/>
        </w:rPr>
        <w:t>Landscaping &amp; Grounds — $6,250,258.08 across 4 departments, 9 vendors</w:t>
      </w:r>
    </w:p>
    <w:p>
      <w:pPr>
        <w:spacing w:after="120"/>
      </w:pPr>
      <w:r>
        <w:rPr>
          <w:b w:val="0"/>
          <w:i/>
          <w:sz w:val="22"/>
        </w:rPr>
        <w:t xml:space="preserve">    → DEPARTMENT OF FLEET AND FACILITY MANAGEMENT pays $104,569.18 per transaction vs. DEPARTMENT OF STREETS AND SANITATION at $33,029.62</w:t>
      </w:r>
    </w:p>
    <w:p>
      <w:pPr>
        <w:pStyle w:val="ListBullet"/>
      </w:pPr>
      <w:r>
        <w:rPr>
          <w:sz w:val="22"/>
        </w:rPr>
        <w:t>Transportation Services — $6,202,843.50 across 5 departments, 4 vendors</w:t>
      </w:r>
    </w:p>
    <w:p>
      <w:pPr>
        <w:spacing w:after="120"/>
      </w:pPr>
      <w:r>
        <w:rPr>
          <w:b w:val="0"/>
          <w:i/>
          <w:sz w:val="22"/>
        </w:rPr>
        <w:t xml:space="preserve">    → OFFICE OF EMERGENCY MANAGEMENT AND COMMUNICATIONS pays $288,367.07 per transaction vs. DEPARTMENT OF FLEET AND FACILITY MANAGEMENT at $1,664.78</w:t>
      </w:r>
    </w:p>
    <w:p>
      <w:pPr>
        <w:pStyle w:val="ListBullet"/>
      </w:pPr>
      <w:r>
        <w:rPr>
          <w:sz w:val="22"/>
        </w:rPr>
        <w:t>Fencing &amp; Guardrail — $5,413,556.42 across 6 departments, 3 vendors</w:t>
      </w:r>
    </w:p>
    <w:p>
      <w:pPr>
        <w:spacing w:after="120"/>
      </w:pPr>
      <w:r>
        <w:rPr>
          <w:b w:val="0"/>
          <w:i/>
          <w:sz w:val="22"/>
        </w:rPr>
        <w:t xml:space="preserve">    → CHICAGO FIRE DEPARTMENT pays $1,471,850.62 per transaction vs. DEPARTMENT OF FLEET AND FACILITY MANAGEMENT at $6,783.05</w:t>
      </w:r>
    </w:p>
    <w:p>
      <w:pPr>
        <w:pStyle w:val="ListBullet"/>
      </w:pPr>
      <w:r>
        <w:rPr>
          <w:sz w:val="22"/>
        </w:rPr>
        <w:t>Background Screening — $3,614,582.57 across 3 departments, 2 vendors</w:t>
      </w:r>
    </w:p>
    <w:p>
      <w:pPr>
        <w:spacing w:after="120"/>
      </w:pPr>
      <w:r>
        <w:rPr>
          <w:b w:val="0"/>
          <w:i/>
          <w:sz w:val="22"/>
        </w:rPr>
        <w:t xml:space="preserve">    → CHICAGO POLICE DEPARTMENT pays $284,796.22 per transaction vs. CHICAGO FIRE DEPARTMENT at $249.46</w:t>
      </w:r>
    </w:p>
    <w:p>
      <w:pPr>
        <w:pStyle w:val="ListBullet"/>
      </w:pPr>
      <w:r>
        <w:rPr>
          <w:sz w:val="22"/>
        </w:rPr>
        <w:t>Equipment Rental — $3,065,283.36 across 2 departments, 6 vendors</w:t>
      </w:r>
    </w:p>
    <w:p>
      <w:pPr>
        <w:spacing w:after="120"/>
      </w:pPr>
      <w:r>
        <w:rPr>
          <w:b w:val="0"/>
          <w:i/>
          <w:sz w:val="22"/>
        </w:rPr>
        <w:t xml:space="preserve">    → DEPARTMENT OF FLEET AND FACILITY MANAGEMENT pays $31,586.17 per transaction vs. DEPARTMENT OF CULTURAL AFFAIRS AND SPECIAL EVENTS at $1,425.00</w:t>
      </w:r>
    </w:p>
    <w:p>
      <w:pPr>
        <w:pStyle w:val="Heading2"/>
      </w:pPr>
      <w:r>
        <w:rPr>
          <w:color w:val="003366"/>
        </w:rPr>
        <w:t>Savings Summary</w:t>
      </w:r>
    </w:p>
    <w:p>
      <w:pPr>
        <w:pStyle w:val="ListBullet"/>
      </w:pPr>
      <w:r>
        <w:rPr>
          <w:sz w:val="22"/>
        </w:rPr>
        <w:t>Moderate scenario (10%): $533,497.66 annual / $1,600,492.98 over 3 years</w:t>
      </w:r>
    </w:p>
    <w:p>
      <w:pPr>
        <w:pStyle w:val="ListBullet"/>
      </w:pPr>
      <w:r>
        <w:rPr>
          <w:sz w:val="22"/>
        </w:rPr>
        <w:t>Cost avoidance (inflation protection): $313,822.15 per year</w:t>
      </w:r>
    </w:p>
    <w:p>
      <w:pPr>
        <w:pStyle w:val="ListBullet"/>
      </w:pPr>
      <w:r>
        <w:rPr>
          <w:sz w:val="22"/>
        </w:rPr>
        <w:t>Admin savings (transaction reduction): $19,548.75 - $32,581.25 per year</w:t>
      </w:r>
    </w:p>
    <w:p>
      <w:pPr>
        <w:pStyle w:val="ListBullet"/>
      </w:pPr>
      <w:r>
        <w:rPr>
          <w:sz w:val="22"/>
        </w:rPr>
        <w:t>Combined annual value (Moderate): $873,384.81</w:t>
      </w:r>
    </w:p>
    <w:p>
      <w:r>
        <w:br w:type="page"/>
      </w:r>
    </w:p>
    <w:p>
      <w:pPr>
        <w:pStyle w:val="Heading1"/>
      </w:pPr>
      <w:r>
        <w:rPr>
          <w:color w:val="003366"/>
        </w:rPr>
        <w:t>HOW THE MATH WORKS</w:t>
      </w:r>
    </w:p>
    <w:p>
      <w:pPr>
        <w:spacing w:after="120"/>
      </w:pPr>
      <w:r>
        <w:rPr>
          <w:b w:val="0"/>
          <w:i w:val="0"/>
          <w:sz w:val="22"/>
        </w:rPr>
        <w:t>This section walks through the savings methodology step by step so any reader can follow the logic.</w:t>
      </w:r>
    </w:p>
    <w:p>
      <w:pPr>
        <w:pStyle w:val="Heading2"/>
      </w:pPr>
      <w:r>
        <w:rPr>
          <w:color w:val="003366"/>
        </w:rPr>
        <w:t>Step 1: Identify addressable spend</w:t>
      </w:r>
    </w:p>
    <w:p>
      <w:pPr>
        <w:spacing w:after="120"/>
      </w:pPr>
      <w:r>
        <w:rPr>
          <w:b w:val="0"/>
          <w:i w:val="0"/>
          <w:sz w:val="22"/>
        </w:rPr>
        <w:t>Not all $262,222,363.85 is consolidation-eligible. We filter to items purchased by 2+ departments from 2+ vendors — 18 items totaling $37,658,658.39 over 5 years.</w:t>
      </w:r>
    </w:p>
    <w:p>
      <w:pPr>
        <w:pStyle w:val="Heading2"/>
      </w:pPr>
      <w:r>
        <w:rPr>
          <w:color w:val="003366"/>
        </w:rPr>
        <w:t>Step 2: Annualize</w:t>
      </w:r>
    </w:p>
    <w:p>
      <w:pPr>
        <w:spacing w:after="120"/>
      </w:pPr>
      <w:r>
        <w:rPr>
          <w:b w:val="0"/>
          <w:i w:val="0"/>
          <w:sz w:val="22"/>
        </w:rPr>
        <w:t>Divide 5-year spend by 5 to get annual run rate: $37,658,658.39 ÷ 5 = $6,276,443.07</w:t>
      </w:r>
    </w:p>
    <w:p>
      <w:pPr>
        <w:spacing w:after="120"/>
      </w:pPr>
      <w:r>
        <w:rPr>
          <w:b w:val="0"/>
          <w:i/>
          <w:sz w:val="22"/>
        </w:rPr>
        <w:t>Why annualize first? We're projecting future savings from new contracts, not retroactive savings on past spending.</w:t>
      </w:r>
    </w:p>
    <w:p>
      <w:pPr>
        <w:pStyle w:val="Heading2"/>
      </w:pPr>
      <w:r>
        <w:rPr>
          <w:color w:val="003366"/>
        </w:rPr>
        <w:t>Step 3: Remove already-optimized spend (15%)</w:t>
      </w:r>
    </w:p>
    <w:p>
      <w:pPr>
        <w:spacing w:after="120"/>
      </w:pPr>
      <w:r>
        <w:rPr>
          <w:b w:val="0"/>
          <w:i w:val="0"/>
          <w:sz w:val="22"/>
        </w:rPr>
        <w:t>Industry benchmarks (McKinsey, NIGP) indicate 10-20% of spend is not addressable. We use the conservative midpoint: $6,276,443.07 × 15% = $941,466.46 removed.</w:t>
      </w:r>
    </w:p>
    <w:p>
      <w:pPr>
        <w:spacing w:after="120"/>
      </w:pPr>
      <w:r>
        <w:rPr>
          <w:b/>
          <w:i w:val="0"/>
          <w:sz w:val="22"/>
        </w:rPr>
        <w:t>Annual addressable spend = $6,276,443.07 - $941,466.46 = $5,334,976.61</w:t>
      </w:r>
    </w:p>
    <w:p>
      <w:pPr>
        <w:pStyle w:val="Heading2"/>
      </w:pPr>
      <w:r>
        <w:rPr>
          <w:color w:val="003366"/>
        </w:rPr>
        <w:t>Step 4: Apply savings rate</w:t>
      </w:r>
    </w:p>
    <w:p>
      <w:pPr>
        <w:spacing w:after="120"/>
      </w:pPr>
      <w:r>
        <w:rPr>
          <w:b w:val="0"/>
          <w:i w:val="0"/>
          <w:sz w:val="22"/>
        </w:rPr>
        <w:t>Three scenarios based on published benchmarks:</w:t>
      </w:r>
    </w:p>
    <w:p>
      <w:pPr>
        <w:pStyle w:val="ListBullet"/>
      </w:pPr>
      <w:r>
        <w:rPr>
          <w:sz w:val="22"/>
        </w:rPr>
        <w:t>Conservative: $5,334,976.61 × 5% = $266,748.83/year</w:t>
      </w:r>
    </w:p>
    <w:p>
      <w:pPr>
        <w:pStyle w:val="ListBullet"/>
      </w:pPr>
      <w:r>
        <w:rPr>
          <w:sz w:val="22"/>
        </w:rPr>
        <w:t>Moderate (RECOMMENDED): $5,334,976.61 × 10% = $533,497.66/year ← RECOMMENDED</w:t>
      </w:r>
    </w:p>
    <w:p>
      <w:pPr>
        <w:pStyle w:val="ListBullet"/>
      </w:pPr>
      <w:r>
        <w:rPr>
          <w:sz w:val="22"/>
        </w:rPr>
        <w:t>Aggressive: $5,334,976.61 × 15% = $800,246.49/year</w:t>
      </w:r>
    </w:p>
    <w:p>
      <w:pPr>
        <w:pStyle w:val="Heading2"/>
      </w:pPr>
      <w:r>
        <w:rPr>
          <w:color w:val="003366"/>
        </w:rPr>
        <w:t>Worked example (Moderate scenario)</w:t>
      </w:r>
    </w:p>
    <w:p>
      <w:pPr>
        <w:spacing w:after="120"/>
      </w:pPr>
      <w:r>
        <w:rPr>
          <w:b w:val="0"/>
          <w:i w:val="0"/>
          <w:sz w:val="22"/>
        </w:rPr>
        <w:t>Take "Landscaping &amp; Grounds" ($6,250,258.08 over 5 years):</w:t>
      </w:r>
    </w:p>
    <w:p>
      <w:pPr>
        <w:pStyle w:val="ListBullet"/>
      </w:pPr>
      <w:r>
        <w:rPr>
          <w:sz w:val="22"/>
        </w:rPr>
        <w:t>Annual run rate: $6,250,258.08 ÷ 5 = $1,041,709.68</w:t>
      </w:r>
    </w:p>
    <w:p>
      <w:pPr>
        <w:pStyle w:val="ListBullet"/>
      </w:pPr>
      <w:r>
        <w:rPr>
          <w:sz w:val="22"/>
        </w:rPr>
        <w:t>Already optimized: $1,041,709.68 × 15% = $156,256.45</w:t>
      </w:r>
    </w:p>
    <w:p>
      <w:pPr>
        <w:pStyle w:val="ListBullet"/>
      </w:pPr>
      <w:r>
        <w:rPr>
          <w:sz w:val="22"/>
        </w:rPr>
        <w:t>Addressable: $1,041,709.68 - $156,256.45 = $885,453.23</w:t>
      </w:r>
    </w:p>
    <w:p>
      <w:pPr>
        <w:pStyle w:val="ListBullet"/>
      </w:pPr>
      <w:r>
        <w:rPr>
          <w:sz w:val="22"/>
        </w:rPr>
        <w:t>Moderate savings: $885,453.23 × 10% = $88,545.32/year</w:t>
      </w:r>
    </w:p>
    <w:p>
      <w:pPr>
        <w:pStyle w:val="ListBullet"/>
      </w:pPr>
      <w:r>
        <w:rPr>
          <w:sz w:val="22"/>
        </w:rPr>
        <w:t>3-year savings: $88,545.32 × 3 = $265,635.96</w:t>
      </w:r>
    </w:p>
    <w:p>
      <w:r>
        <w:br w:type="page"/>
      </w:r>
    </w:p>
    <w:p>
      <w:pPr>
        <w:pStyle w:val="Heading1"/>
      </w:pPr>
      <w:r>
        <w:rPr>
          <w:color w:val="003366"/>
        </w:rPr>
        <w:t>BENCHMARK SOURCES</w:t>
      </w:r>
    </w:p>
    <w:p>
      <w:pPr>
        <w:spacing w:after="120"/>
      </w:pPr>
      <w:r>
        <w:rPr>
          <w:b w:val="0"/>
          <w:i w:val="0"/>
          <w:sz w:val="22"/>
        </w:rPr>
        <w:t>Every assumption in this analysis is sourced from published procurement benchmarks:</w:t>
      </w:r>
    </w:p>
    <w:p>
      <w:pPr>
        <w:pStyle w:val="ListBullet"/>
      </w:pPr>
      <w:r>
        <w:rPr>
          <w:sz w:val="22"/>
        </w:rPr>
        <w:t>15% already-optimized exclusion — McKinsey &amp; Company, NIGP Best Practices in Category Management (10-20% range)</w:t>
      </w:r>
    </w:p>
    <w:p>
      <w:pPr>
        <w:pStyle w:val="ListBullet"/>
      </w:pPr>
      <w:r>
        <w:rPr>
          <w:sz w:val="22"/>
        </w:rPr>
        <w:t>5-15% consolidation savings range — McKinsey Public Sector 2023, NIGP, NASPO ValuePoint, CIPS</w:t>
      </w:r>
    </w:p>
    <w:p>
      <w:pPr>
        <w:pStyle w:val="ListBullet"/>
      </w:pPr>
      <w:r>
        <w:rPr>
          <w:sz w:val="22"/>
        </w:rPr>
        <w:t>5% inflation rate — Bureau of Labor Statistics Producer Price Index for services</w:t>
      </w:r>
    </w:p>
    <w:p>
      <w:pPr>
        <w:pStyle w:val="ListBullet"/>
      </w:pPr>
      <w:r>
        <w:rPr>
          <w:sz w:val="22"/>
        </w:rPr>
        <w:t>$150-$250 per transaction — NIGP government purchase order processing benchmarks</w:t>
      </w:r>
    </w:p>
    <w:p>
      <w:pPr>
        <w:pStyle w:val="ListBullet"/>
      </w:pPr>
      <w:r>
        <w:rPr>
          <w:sz w:val="22"/>
        </w:rPr>
        <w:t>65% transaction reduction — NASPO ValuePoint cooperative contract data</w:t>
      </w:r>
    </w:p>
    <w:p>
      <w:pPr>
        <w:pStyle w:val="ListBullet"/>
      </w:pPr>
      <w:r>
        <w:rPr>
          <w:sz w:val="22"/>
        </w:rPr>
        <w:t>10% Moderate scenario — midpoint of documented outcomes across multiple studies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2"/>
        </w:rPr>
        <w:t>Supporting workbook: 2026-03-24_Exhibit_B_Consolidation_Analysis.xlsx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