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788"/>
          <w:sz w:val="36"/>
        </w:rPr>
        <w:t>CITY OF CHICAGO</w:t>
        <w:br/>
        <w:t>EXHIBIT B VENDOR CONSOLIDATION ANALYSIS</w:t>
        <w:br/>
        <w:t>LEADERSHIP BRIEFING DOCUMENT</w:t>
      </w:r>
    </w:p>
    <w:p>
      <w:pPr>
        <w:jc w:val="center"/>
      </w:pPr>
      <w:r>
        <w:rPr>
          <w:sz w:val="20"/>
        </w:rPr>
        <w:t>Prepared: March 24, 2026  |  Source: Exhibit B Report January 2021 – January 2026</w:t>
      </w:r>
    </w:p>
    <w:p/>
    <w:p>
      <w:pPr>
        <w:pStyle w:val="Heading1"/>
      </w:pPr>
      <w:r>
        <w:rPr>
          <w:color w:val="1F4788"/>
        </w:rPr>
        <w:t>SECTION 1: EXECUTIVE OVERVIEW — TALKING POINTS SCRIPT</w:t>
      </w:r>
    </w:p>
    <w:p>
      <w:pPr>
        <w:spacing w:after="120"/>
      </w:pPr>
      <w:r>
        <w:rPr>
          <w:b w:val="0"/>
          <w:i w:val="0"/>
          <w:sz w:val="22"/>
        </w:rPr>
        <w:t>The following is a ready-to-use script for presenting this analysis to department heads, the CFO, or CPO. Read verbatim or adapt to your style.</w:t>
      </w:r>
    </w:p>
    <w:p/>
    <w:p>
      <w:pPr>
        <w:pStyle w:val="Heading2"/>
      </w:pPr>
      <w:r>
        <w:rPr>
          <w:color w:val="DC143C"/>
        </w:rPr>
        <w:t>Opening — Set the Stage</w:t>
      </w:r>
    </w:p>
    <w:p>
      <w:pPr>
        <w:spacing w:after="120"/>
      </w:pPr>
      <w:r>
        <w:rPr>
          <w:b w:val="0"/>
          <w:i w:val="0"/>
          <w:sz w:val="22"/>
        </w:rPr>
        <w:t>'Over the past five years — from January 2021 through January 2026 — the City of Chicago processed 4,372 approved requisitions totaling $262,222,364 across 525 vendors. Today I want to show you what that data tells us about where we're leaving money on the table, and what we can do about it.'</w:t>
      </w:r>
    </w:p>
    <w:p>
      <w:pPr>
        <w:pStyle w:val="Heading2"/>
      </w:pPr>
      <w:r>
        <w:rPr>
          <w:color w:val="DC143C"/>
        </w:rPr>
        <w:t>The Problem — Fragmented Buying</w:t>
      </w:r>
    </w:p>
    <w:p>
      <w:pPr>
        <w:spacing w:after="120"/>
      </w:pPr>
      <w:r>
        <w:rPr>
          <w:b w:val="0"/>
          <w:i w:val="0"/>
          <w:sz w:val="22"/>
        </w:rPr>
        <w:t>'When we analyzed the 4,372 transactions, we identified 2,477 distinct service items — things like car wash services, elevator maintenance, glass repair, chemical supplies. What we found is that many of these items are being bought from multiple vendors, often by multiple departments independently, with no coordinated contract strategy. We found 11 HIGH-priority items where three or more vendors are supplying the same service, and 36 MEDIUM-priority items with two vendors. That fragmentation has a real dollar cost.'</w:t>
      </w:r>
    </w:p>
    <w:p>
      <w:pPr>
        <w:pStyle w:val="Heading2"/>
      </w:pPr>
      <w:r>
        <w:rPr>
          <w:color w:val="DC143C"/>
        </w:rPr>
        <w:t>The Opportunity — What Consolidation Delivers</w:t>
      </w:r>
    </w:p>
    <w:p>
      <w:pPr>
        <w:spacing w:after="120"/>
      </w:pPr>
      <w:r>
        <w:rPr>
          <w:b w:val="0"/>
          <w:i w:val="0"/>
          <w:sz w:val="22"/>
        </w:rPr>
        <w:t>'Under a moderate consolidation scenario — which industry benchmarks say is achievable within 12 to 18 months — we estimate $3,700,428 in hard savings and $7,562,396 in cost avoidance in the first year alone. Over three years, the total value reaches $33,997,564. Those are not theoretical numbers — they are calculated line by line from our actual transaction data, using publicly sourced benchmarks from NIGP, Hackett Group, and the Government Finance Officers Association.'</w:t>
      </w:r>
    </w:p>
    <w:p>
      <w:pPr>
        <w:pStyle w:val="Heading2"/>
      </w:pPr>
      <w:r>
        <w:rPr>
          <w:color w:val="DC143C"/>
        </w:rPr>
        <w:t>The Recommendation</w:t>
      </w:r>
    </w:p>
    <w:p>
      <w:pPr>
        <w:spacing w:after="120"/>
      </w:pPr>
      <w:r>
        <w:rPr>
          <w:b w:val="0"/>
          <w:i w:val="0"/>
          <w:sz w:val="22"/>
        </w:rPr>
        <w:t>'I am recommending we move immediately on the top 10 consolidation targets. The highest-priority item alone — Liquid Aluminum Sulfate — currently has 2 vendors supplying the same service to multiple departments. One contract vehicle with multiple approved vendors at negotiated rates would serve every department better and cost less. I am asking for authorization to begin the specification development phase on the top three items within the next 30 days.'</w:t>
      </w:r>
    </w:p>
    <w:p>
      <w:r>
        <w:br w:type="page"/>
      </w:r>
    </w:p>
    <w:p>
      <w:pPr>
        <w:pStyle w:val="Heading1"/>
      </w:pPr>
      <w:r>
        <w:rPr>
          <w:color w:val="1F4788"/>
        </w:rPr>
        <w:t>SECTION 2: WHY THIS MODEL IS THE RIGHT APPROACH</w:t>
      </w:r>
    </w:p>
    <w:p>
      <w:pPr>
        <w:pStyle w:val="Heading2"/>
      </w:pPr>
      <w:r>
        <w:rPr>
          <w:color w:val="DC143C"/>
        </w:rPr>
        <w:t>Why Item-Level, Not Category-Level</w:t>
      </w:r>
    </w:p>
    <w:p>
      <w:pPr>
        <w:spacing w:after="120"/>
      </w:pPr>
      <w:r>
        <w:rPr>
          <w:b w:val="0"/>
          <w:i w:val="0"/>
          <w:sz w:val="22"/>
        </w:rPr>
        <w:t>Most spend analysis tools group transactions into broad categories (Facilities, Technology, Professional Services). That approach tells you where money is going but not what to do about it. This analysis groups by actual service item — the specific thing being purchased — so every consolidation target is actionable: procurement can take it directly to market as a defined scope of work. 'Facilities Maintenance' is not a contract. 'Elevator Maintenance — all city facilities' is a contract.</w:t>
      </w:r>
    </w:p>
    <w:p>
      <w:pPr>
        <w:pStyle w:val="Heading2"/>
      </w:pPr>
      <w:r>
        <w:rPr>
          <w:color w:val="DC143C"/>
        </w:rPr>
        <w:t>Why Like-Item Grouping Across Departments</w:t>
      </w:r>
    </w:p>
    <w:p>
      <w:pPr>
        <w:spacing w:after="120"/>
      </w:pPr>
      <w:r>
        <w:rPr>
          <w:b w:val="0"/>
          <w:i w:val="0"/>
          <w:sz w:val="22"/>
        </w:rPr>
        <w:t>The same service purchased by Fleet &amp; Facility Management and the Chicago Fire Department under slightly different description names is still the same service. By normalizing descriptions and grouping similar items together, this model surfaces cross-department duplication that traditional silo-by-department reporting misses. We identified 6 service items currently split across two or more departments with different vendors — each one is a candidate for a single citywide contract.</w:t>
      </w:r>
    </w:p>
    <w:p>
      <w:pPr>
        <w:pStyle w:val="Heading2"/>
      </w:pPr>
      <w:r>
        <w:rPr>
          <w:color w:val="DC143C"/>
        </w:rPr>
        <w:t>Why We Show Hard Savings and Cost Avoidance Separately</w:t>
      </w:r>
    </w:p>
    <w:p>
      <w:pPr>
        <w:spacing w:after="120"/>
      </w:pPr>
      <w:r>
        <w:rPr>
          <w:b w:val="0"/>
          <w:i w:val="0"/>
          <w:sz w:val="22"/>
        </w:rPr>
        <w:t>Hard savings directly reduce what the City pays — they show up on the budget as reduced expenditure. Cost avoidance prevents future spending that would otherwise occur. Presenting both together, but clearly labeled, gives leadership a complete picture. Reporting only hard savings systematically understates the value of strategic sourcing. The three-year view matters because consolidation has upfront effort but compounding returns — inflation protection alone grows each year.</w:t>
      </w:r>
    </w:p>
    <w:p>
      <w:pPr>
        <w:pStyle w:val="Heading2"/>
      </w:pPr>
      <w:r>
        <w:rPr>
          <w:color w:val="DC143C"/>
        </w:rPr>
        <w:t>Why Three Scenarios</w:t>
      </w:r>
    </w:p>
    <w:p>
      <w:pPr>
        <w:spacing w:after="120"/>
      </w:pPr>
      <w:r>
        <w:rPr>
          <w:b w:val="0"/>
          <w:i w:val="0"/>
          <w:sz w:val="22"/>
        </w:rPr>
        <w:t>Conservative (26% vendor reduction) is the floor — achievable with minimal process change, sourced from NIGP's public sector benchmarks. Moderate (45%) is the target — Hackett Group's data for governments that actively manage consolidation programs. Aggressive (65%) represents best-in-class outcomes from Aberdeen Group's research. Leadership can choose which scenario to commit to based on available resources and risk appetite. The model is fully transparent so any assumption can be adjusted.</w:t>
      </w:r>
    </w:p>
    <w:p>
      <w:r>
        <w:br w:type="page"/>
      </w:r>
    </w:p>
    <w:p>
      <w:pPr>
        <w:pStyle w:val="Heading1"/>
      </w:pPr>
      <w:r>
        <w:rPr>
          <w:color w:val="1F4788"/>
        </w:rPr>
        <w:t>SECTION 3: ANTICIPATED LEADERSHIP PUSHBACK — QUESTIONS AND RESPONSES</w:t>
      </w:r>
    </w:p>
    <w:p>
      <w:pPr>
        <w:spacing w:after="120"/>
      </w:pPr>
      <w:r>
        <w:rPr>
          <w:b w:val="0"/>
          <w:i w:val="0"/>
          <w:sz w:val="22"/>
        </w:rPr>
        <w:t>These are the most likely objections you will face, based on common patterns in public sector consolidation initiatives. Responses are grounded in the data and model.</w:t>
      </w:r>
    </w:p>
    <w:p>
      <w:pPr>
        <w:spacing w:before="160"/>
      </w:pPr>
      <w:r>
        <w:rPr>
          <w:b/>
          <w:color w:val="1F4788"/>
          <w:sz w:val="22"/>
        </w:rPr>
        <w:t>Q: Our departments have unique requirements — one vendor can't serve all of them.</w:t>
      </w:r>
    </w:p>
    <w:p>
      <w:pPr>
        <w:spacing w:after="120"/>
      </w:pPr>
      <w:r>
        <w:rPr>
          <w:sz w:val="22"/>
        </w:rPr>
        <w:t>A: Consolidation does not mean a single vendor for all departments. The standard vehicle is a multiple-award task order contract: we competitively select three to five vendors at negotiated rates, and departments choose from that approved list based on their specific needs. Departments retain flexibility; the City gains pricing leverage and contract compliance.</w:t>
      </w:r>
    </w:p>
    <w:p>
      <w:pPr>
        <w:spacing w:before="160"/>
      </w:pPr>
      <w:r>
        <w:rPr>
          <w:b/>
          <w:color w:val="1F4788"/>
          <w:sz w:val="22"/>
        </w:rPr>
        <w:t>Q: We already have good relationships with our current vendors.</w:t>
      </w:r>
    </w:p>
    <w:p>
      <w:pPr>
        <w:spacing w:after="120"/>
      </w:pPr>
      <w:r>
        <w:rPr>
          <w:sz w:val="22"/>
        </w:rPr>
        <w:t>A: Those relationships are preserved. Incumbent vendors compete for the consolidated contract and frequently win — often with better terms because they now have guaranteed volume. The difference is the City negotiates from a position of known spend data rather than awarding small, fragmented contracts with no leverage.</w:t>
      </w:r>
    </w:p>
    <w:p>
      <w:pPr>
        <w:spacing w:before="160"/>
      </w:pPr>
      <w:r>
        <w:rPr>
          <w:b/>
          <w:color w:val="1F4788"/>
          <w:sz w:val="22"/>
        </w:rPr>
        <w:t>Q: The savings estimates seem optimistic. How confident are you in these numbers?</w:t>
      </w:r>
    </w:p>
    <w:p>
      <w:pPr>
        <w:spacing w:after="120"/>
      </w:pPr>
      <w:r>
        <w:rPr>
          <w:sz w:val="22"/>
        </w:rPr>
        <w:t>A: The conservative scenario — $9,289,635 in first-year value — uses the lowest benchmark rates from NIGP, which tracks actual outcomes across hundreds of public sector consolidations. The assumptions are documented in the Benchmark Sources tab of the workbook. We can re-run the model at any savings rate the CFO specifies. The point is not the exact number — it is that the directional opportunity is significant and the methodology is defensible.</w:t>
      </w:r>
    </w:p>
    <w:p>
      <w:pPr>
        <w:spacing w:before="160"/>
      </w:pPr>
      <w:r>
        <w:rPr>
          <w:b/>
          <w:color w:val="1F4788"/>
          <w:sz w:val="22"/>
        </w:rPr>
        <w:t>Q: Won't this slow down purchasing? Fewer vendors means longer lead times.</w:t>
      </w:r>
    </w:p>
    <w:p>
      <w:pPr>
        <w:spacing w:after="120"/>
      </w:pPr>
      <w:r>
        <w:rPr>
          <w:sz w:val="22"/>
        </w:rPr>
        <w:t>A: The opposite is true. Today, departments sourcing a fragmented service go through a new solicitation every time. Under a consolidated BPA or task order contract, the competition is already done. Departments issue a task order against the existing contract in days, not months. Consolidation eliminates procurement lead time for routine purchases.</w:t>
      </w:r>
    </w:p>
    <w:p>
      <w:pPr>
        <w:spacing w:before="160"/>
      </w:pPr>
      <w:r>
        <w:rPr>
          <w:b/>
          <w:color w:val="1F4788"/>
          <w:sz w:val="22"/>
        </w:rPr>
        <w:t>Q: What happens to our MBE, WBE, and DBE commitments?</w:t>
      </w:r>
    </w:p>
    <w:p>
      <w:pPr>
        <w:spacing w:after="120"/>
      </w:pPr>
      <w:r>
        <w:rPr>
          <w:sz w:val="22"/>
        </w:rPr>
        <w:t>A: Consolidated contracts are structured to preserve and often improve diversity participation. A multiple-award contract can designate MBE/WBE/DBE set-aside tiers, ensuring diverse vendors receive a guaranteed share of consolidated volume — which is actually a stronger commitment than the current fragmented approach where diversity tracking is harder to enforce.</w:t>
      </w:r>
    </w:p>
    <w:p>
      <w:pPr>
        <w:spacing w:before="160"/>
      </w:pPr>
      <w:r>
        <w:rPr>
          <w:b/>
          <w:color w:val="1F4788"/>
          <w:sz w:val="22"/>
        </w:rPr>
        <w:t>Q: How long will this actually take to implement?</w:t>
      </w:r>
    </w:p>
    <w:p>
      <w:pPr>
        <w:spacing w:after="120"/>
      </w:pPr>
      <w:r>
        <w:rPr>
          <w:sz w:val="22"/>
        </w:rPr>
        <w:t>A: The top 10 items can move through specification development, solicitation, and award within 6 to 9 months using existing specifications as a baseline. Items currently on contracts approaching expiration can be consolidated at renewal with no additional lead time. We are not proposing to consolidate everything at once — we start with the highest-value, most-fragmented items where the work is already defined.</w:t>
      </w:r>
    </w:p>
    <w:p>
      <w:pPr>
        <w:spacing w:before="160"/>
      </w:pPr>
      <w:r>
        <w:rPr>
          <w:b/>
          <w:color w:val="1F4788"/>
          <w:sz w:val="22"/>
        </w:rPr>
        <w:t>Q: Why wasn't this analysis done before?</w:t>
      </w:r>
    </w:p>
    <w:p>
      <w:pPr>
        <w:spacing w:after="120"/>
      </w:pPr>
      <w:r>
        <w:rPr>
          <w:sz w:val="22"/>
        </w:rPr>
        <w:t>A: Five years of Exhibit B data at this level of granularity was not previously assembled and analyzed in a single model. This analysis represents the first time we have been able to see item-level fragmentation across all departments in one place. It is now a reusable tool — we can refresh it quarterly as new data is added.</w:t>
      </w:r>
    </w:p>
    <w:p>
      <w:pPr>
        <w:spacing w:before="160"/>
      </w:pPr>
      <w:r>
        <w:rPr>
          <w:b/>
          <w:color w:val="1F4788"/>
          <w:sz w:val="22"/>
        </w:rPr>
        <w:t>Q: What if departments push back and refuse to use the consolidated contract?</w:t>
      </w:r>
    </w:p>
    <w:p>
      <w:pPr>
        <w:spacing w:after="120"/>
      </w:pPr>
      <w:r>
        <w:rPr>
          <w:sz w:val="22"/>
        </w:rPr>
        <w:t>A: Compliance is a policy decision, not a technical one. This analysis gives leadership the data to make that call. If two departments are buying the same service from different vendors, leadership can now point to the specific item, the specific cost, and the specific opportunity. The model supports a mandate if leadership chooses to issue one.</w:t>
      </w:r>
    </w:p>
    <w:p>
      <w:r>
        <w:br w:type="page"/>
      </w:r>
    </w:p>
    <w:p>
      <w:pPr>
        <w:pStyle w:val="Heading1"/>
      </w:pPr>
      <w:r>
        <w:rPr>
          <w:color w:val="1F4788"/>
        </w:rPr>
        <w:t>SECTION 4: RECOMMENDED NEXT STEPS</w:t>
      </w:r>
    </w:p>
    <w:p>
      <w:pPr>
        <w:pStyle w:val="ListNumber"/>
        <w:spacing w:after="120"/>
      </w:pPr>
      <w:r>
        <w:rPr>
          <w:b/>
          <w:color w:val="1F4788"/>
          <w:sz w:val="22"/>
        </w:rPr>
        <w:t xml:space="preserve">30 Days: </w:t>
      </w:r>
      <w:r>
        <w:rPr>
          <w:sz w:val="22"/>
        </w:rPr>
        <w:t>Share the Consolidation Targets tab with department heads for the top 10 items. Validate that the service descriptions match their understanding of what is being purchased. Identify whether any of the top items are already in active solicitation or contract renewal.</w:t>
      </w:r>
    </w:p>
    <w:p>
      <w:pPr>
        <w:pStyle w:val="ListNumber"/>
        <w:spacing w:after="120"/>
      </w:pPr>
      <w:r>
        <w:rPr>
          <w:b/>
          <w:color w:val="1F4788"/>
          <w:sz w:val="22"/>
        </w:rPr>
        <w:t xml:space="preserve">30–60 Days: </w:t>
      </w:r>
      <w:r>
        <w:rPr>
          <w:sz w:val="22"/>
        </w:rPr>
        <w:t>Pull current contract expiration dates for the top 10 items. Prioritize items with contracts expiring within 12 months — these are immediate consolidation windows. Brief the CPO on the three-year savings projection and get sign-off on the target scenario (Conservative, Moderate, or Aggressive).</w:t>
      </w:r>
    </w:p>
    <w:p>
      <w:pPr>
        <w:pStyle w:val="ListNumber"/>
        <w:spacing w:after="120"/>
      </w:pPr>
      <w:r>
        <w:rPr>
          <w:b/>
          <w:color w:val="1F4788"/>
          <w:sz w:val="22"/>
        </w:rPr>
        <w:t xml:space="preserve">60–90 Days: </w:t>
      </w:r>
      <w:r>
        <w:rPr>
          <w:sz w:val="22"/>
        </w:rPr>
        <w:t>Issue solicitations for the top 3 highest-value items. Use existing specifications as the baseline. Structure each as a multiple-award task order contract with MBE/WBE/DBE participation requirements.</w:t>
      </w:r>
    </w:p>
    <w:p>
      <w:pPr>
        <w:pStyle w:val="ListNumber"/>
        <w:spacing w:after="120"/>
      </w:pPr>
      <w:r>
        <w:rPr>
          <w:b/>
          <w:color w:val="1F4788"/>
          <w:sz w:val="22"/>
        </w:rPr>
        <w:t xml:space="preserve">90–180 Days: </w:t>
      </w:r>
      <w:r>
        <w:rPr>
          <w:sz w:val="22"/>
        </w:rPr>
        <w:t>Award consolidated contracts for top 3 items. Notify all using-area departments and require task order usage going forward. Establish baseline spend tracking to measure actual savings against model projections.</w:t>
      </w:r>
    </w:p>
    <w:p>
      <w:pPr>
        <w:pStyle w:val="ListNumber"/>
        <w:spacing w:after="120"/>
      </w:pPr>
      <w:r>
        <w:rPr>
          <w:b/>
          <w:color w:val="1F4788"/>
          <w:sz w:val="22"/>
        </w:rPr>
        <w:t xml:space="preserve">Ongoing: </w:t>
      </w:r>
      <w:r>
        <w:rPr>
          <w:sz w:val="22"/>
        </w:rPr>
        <w:t>Refresh this analysis quarterly as new Exhibit B data is available. Add realized savings to the model alongside projected savings. Expand to the next tier of consolidation targets each quarter. Report progress against the three-year value target to CPO and CFO on a quarterly basis.</w:t>
      </w:r>
    </w:p>
    <w:p/>
    <w:p>
      <w:pPr>
        <w:spacing w:after="120"/>
      </w:pPr>
      <w:r>
        <w:rPr>
          <w:b w:val="0"/>
          <w:i/>
          <w:sz w:val="22"/>
        </w:rPr>
        <w:t>Supporting workbook: EXHIBIT_B_VENDOR_CONSOLIDATION.xlsx</w:t>
        <w:br/>
        <w:t>Sheets: Executive Summary | Consolidation Targets | Savings Model Detail | Item-Vendor Detail | Cross-Dept Splits | Benchmark Sources | Raw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