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2026-08-20  •  Savings &amp; cost-avoidance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5</w:t>
      </w:r>
      <w:r>
        <w:rPr>
          <w:rFonts w:ascii="Calibri" w:hAnsi="Calibri"/>
          <w:sz w:val="22"/>
        </w:rPr>
        <w:t xml:space="preserve">  Read the report on screen, then click Download full spend report (Excel) for the formatted, multi-tab workbook.</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runs whatever the data supports. It never invents data it doesn't have; if a column isn't present, the dependent analysis is skipped with a note. Your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Which of these run depends on what your file contains. The tool includes every one the data supports and skips the rest.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Same Commodity (NIGP code)</w:t>
            </w:r>
          </w:p>
        </w:tc>
        <w:tc>
          <w:tcPr>
            <w:tcW w:type="dxa" w:w="4139"/>
            <w:shd w:val="clear" w:color="auto" w:fill="D6EEF9"/>
          </w:tcPr>
          <w:p>
            <w:r>
              <w:rPr>
                <w:rFonts w:ascii="Calibri" w:hAnsi="Calibri"/>
                <w:sz w:val="19"/>
              </w:rPr>
              <w:t>Groups by NIGP commodity code so differently-worded descriptions of the same commodity roll together</w:t>
            </w:r>
          </w:p>
        </w:tc>
        <w:tc>
          <w:tcPr>
            <w:tcW w:type="dxa" w:w="2835"/>
            <w:shd w:val="clear" w:color="auto" w:fill="D6EEF9"/>
          </w:tcPr>
          <w:p>
            <w:r>
              <w:rPr>
                <w:rFonts w:ascii="Calibri" w:hAnsi="Calibri"/>
                <w:sz w:val="19"/>
              </w:rPr>
              <w:t>Catches split buying hidden behind wording differences</w:t>
            </w:r>
          </w:p>
        </w:tc>
      </w:tr>
      <w:tr>
        <w:tc>
          <w:tcPr>
            <w:tcW w:type="dxa" w:w="2381"/>
          </w:tcPr>
          <w:p>
            <w:r>
              <w:rPr>
                <w:rFonts w:ascii="Calibri" w:hAnsi="Calibri"/>
                <w:sz w:val="19"/>
              </w:rPr>
              <w:t>Spend Trend</w:t>
            </w:r>
          </w:p>
        </w:tc>
        <w:tc>
          <w:tcPr>
            <w:tcW w:type="dxa" w:w="4139"/>
          </w:tcPr>
          <w:p>
            <w:r>
              <w:rPr>
                <w:rFonts w:ascii="Calibri" w:hAnsi="Calibri"/>
                <w:sz w:val="19"/>
              </w:rPr>
              <w:t>Spend by year with year-over-year change</w:t>
            </w:r>
          </w:p>
        </w:tc>
        <w:tc>
          <w:tcPr>
            <w:tcW w:type="dxa" w:w="2835"/>
          </w:tcPr>
          <w:p>
            <w:r>
              <w:rPr>
                <w:rFonts w:ascii="Calibri" w:hAnsi="Calibri"/>
                <w:sz w:val="19"/>
              </w:rPr>
              <w:t>Is spend rising or falling; when it peaked</w:t>
            </w:r>
          </w:p>
        </w:tc>
      </w:tr>
      <w:tr>
        <w:tc>
          <w:tcPr>
            <w:tcW w:type="dxa" w:w="2381"/>
            <w:shd w:val="clear" w:color="auto" w:fill="D6EEF9"/>
          </w:tcPr>
          <w:p>
            <w:r>
              <w:rPr>
                <w:rFonts w:ascii="Calibri" w:hAnsi="Calibri"/>
                <w:sz w:val="19"/>
              </w:rPr>
              <w:t>Vendor Concentration</w:t>
            </w:r>
          </w:p>
        </w:tc>
        <w:tc>
          <w:tcPr>
            <w:tcW w:type="dxa" w:w="4139"/>
            <w:shd w:val="clear" w:color="auto" w:fill="D6EEF9"/>
          </w:tcPr>
          <w:p>
            <w:r>
              <w:rPr>
                <w:rFonts w:ascii="Calibri" w:hAnsi="Calibri"/>
                <w:sz w:val="19"/>
              </w:rPr>
              <w:t>Top-1/5/10 vendor share and an HHI score</w:t>
            </w:r>
          </w:p>
        </w:tc>
        <w:tc>
          <w:tcPr>
            <w:tcW w:type="dxa" w:w="2835"/>
            <w:shd w:val="clear" w:color="auto" w:fill="D6EEF9"/>
          </w:tcPr>
          <w:p>
            <w:r>
              <w:rPr>
                <w:rFonts w:ascii="Calibri" w:hAnsi="Calibri"/>
                <w:sz w:val="19"/>
              </w:rPr>
              <w:t>How dependent are we on a few suppliers</w:t>
            </w:r>
          </w:p>
        </w:tc>
      </w:tr>
      <w:tr>
        <w:tc>
          <w:tcPr>
            <w:tcW w:type="dxa" w:w="2381"/>
          </w:tcPr>
          <w:p>
            <w:r>
              <w:rPr>
                <w:rFonts w:ascii="Calibri" w:hAnsi="Calibri"/>
                <w:sz w:val="19"/>
              </w:rPr>
              <w:t>Tail-Spend</w:t>
            </w:r>
          </w:p>
        </w:tc>
        <w:tc>
          <w:tcPr>
            <w:tcW w:type="dxa" w:w="4139"/>
          </w:tcPr>
          <w:p>
            <w:r>
              <w:rPr>
                <w:rFonts w:ascii="Calibri" w:hAnsi="Calibri"/>
                <w:sz w:val="19"/>
              </w:rPr>
              <w:t>The many small vendors making up the last ~20%</w:t>
            </w:r>
          </w:p>
        </w:tc>
        <w:tc>
          <w:tcPr>
            <w:tcW w:type="dxa" w:w="2835"/>
          </w:tcPr>
          <w:p>
            <w:r>
              <w:rPr>
                <w:rFonts w:ascii="Calibri" w:hAnsi="Calibri"/>
                <w:sz w:val="19"/>
              </w:rPr>
              <w:t>The classic consolidation target</w:t>
            </w:r>
          </w:p>
        </w:tc>
      </w:tr>
      <w:tr>
        <w:tc>
          <w:tcPr>
            <w:tcW w:type="dxa" w:w="2381"/>
            <w:shd w:val="clear" w:color="auto" w:fill="D6EEF9"/>
          </w:tcPr>
          <w:p>
            <w:r>
              <w:rPr>
                <w:rFonts w:ascii="Calibri" w:hAnsi="Calibri"/>
                <w:sz w:val="19"/>
              </w:rPr>
              <w:t>Single- vs Multi-Source</w:t>
            </w:r>
          </w:p>
        </w:tc>
        <w:tc>
          <w:tcPr>
            <w:tcW w:type="dxa" w:w="4139"/>
            <w:shd w:val="clear" w:color="auto" w:fill="D6EEF9"/>
          </w:tcPr>
          <w:p>
            <w:r>
              <w:rPr>
                <w:rFonts w:ascii="Calibri" w:hAnsi="Calibri"/>
                <w:sz w:val="19"/>
              </w:rPr>
              <w:t>Categories bought from one vendor vs. many</w:t>
            </w:r>
          </w:p>
        </w:tc>
        <w:tc>
          <w:tcPr>
            <w:tcW w:type="dxa" w:w="2835"/>
            <w:shd w:val="clear" w:color="auto" w:fill="D6EEF9"/>
          </w:tcPr>
          <w:p>
            <w:r>
              <w:rPr>
                <w:rFonts w:ascii="Calibri" w:hAnsi="Calibri"/>
                <w:sz w:val="19"/>
              </w:rPr>
              <w:t>Vendor rationalization &amp; supply risk</w:t>
            </w:r>
          </w:p>
        </w:tc>
      </w:tr>
      <w:tr>
        <w:tc>
          <w:tcPr>
            <w:tcW w:type="dxa" w:w="2381"/>
          </w:tcPr>
          <w:p>
            <w:r>
              <w:rPr>
                <w:rFonts w:ascii="Calibri" w:hAnsi="Calibri"/>
                <w:sz w:val="19"/>
              </w:rPr>
              <w:t>Spend by Department</w:t>
            </w:r>
          </w:p>
        </w:tc>
        <w:tc>
          <w:tcPr>
            <w:tcW w:type="dxa" w:w="4139"/>
          </w:tcPr>
          <w:p>
            <w:r>
              <w:rPr>
                <w:rFonts w:ascii="Calibri" w:hAnsi="Calibri"/>
                <w:sz w:val="19"/>
              </w:rPr>
              <w:t>Which departments spend, and on what</w:t>
            </w:r>
          </w:p>
        </w:tc>
        <w:tc>
          <w:tcPr>
            <w:tcW w:type="dxa" w:w="2835"/>
          </w:tcPr>
          <w:p>
            <w:r>
              <w:rPr>
                <w:rFonts w:ascii="Calibri" w:hAnsi="Calibri"/>
                <w:sz w:val="19"/>
              </w:rPr>
              <w:t>Cross-department demand</w:t>
            </w:r>
          </w:p>
        </w:tc>
      </w:tr>
      <w:tr>
        <w:tc>
          <w:tcPr>
            <w:tcW w:type="dxa" w:w="2381"/>
            <w:shd w:val="clear" w:color="auto" w:fill="D6EEF9"/>
          </w:tcPr>
          <w:p>
            <w:r>
              <w:rPr>
                <w:rFonts w:ascii="Calibri" w:hAnsi="Calibri"/>
                <w:sz w:val="19"/>
              </w:rPr>
              <w:t>Category × Dept Matrix</w:t>
            </w:r>
          </w:p>
        </w:tc>
        <w:tc>
          <w:tcPr>
            <w:tcW w:type="dxa" w:w="4139"/>
            <w:shd w:val="clear" w:color="auto" w:fill="D6EEF9"/>
          </w:tcPr>
          <w:p>
            <w:r>
              <w:rPr>
                <w:rFonts w:ascii="Calibri" w:hAnsi="Calibri"/>
                <w:sz w:val="19"/>
              </w:rPr>
              <w:t>Same commodity bought across many departments</w:t>
            </w:r>
          </w:p>
        </w:tc>
        <w:tc>
          <w:tcPr>
            <w:tcW w:type="dxa" w:w="2835"/>
            <w:shd w:val="clear" w:color="auto" w:fill="D6EEF9"/>
          </w:tcPr>
          <w:p>
            <w:r>
              <w:rPr>
                <w:rFonts w:ascii="Calibri" w:hAnsi="Calibri"/>
                <w:sz w:val="19"/>
              </w:rPr>
              <w:t>Cross-department leverage</w:t>
            </w:r>
          </w:p>
        </w:tc>
      </w:tr>
      <w:tr>
        <w:tc>
          <w:tcPr>
            <w:tcW w:type="dxa" w:w="2381"/>
          </w:tcPr>
          <w:p>
            <w:r>
              <w:rPr>
                <w:rFonts w:ascii="Calibri" w:hAnsi="Calibri"/>
                <w:sz w:val="19"/>
              </w:rPr>
              <w:t>Spend by Dimension</w:t>
            </w:r>
          </w:p>
        </w:tc>
        <w:tc>
          <w:tcPr>
            <w:tcW w:type="dxa" w:w="4139"/>
          </w:tcPr>
          <w:p>
            <w:r>
              <w:rPr>
                <w:rFonts w:ascii="Calibri" w:hAnsi="Calibri"/>
                <w:sz w:val="19"/>
              </w:rPr>
              <w:t>Breakdown by any flag (contract, diversity, status)</w:t>
            </w:r>
          </w:p>
        </w:tc>
        <w:tc>
          <w:tcPr>
            <w:tcW w:type="dxa" w:w="2835"/>
          </w:tcPr>
          <w:p>
            <w:r>
              <w:rPr>
                <w:rFonts w:ascii="Calibri" w:hAnsi="Calibri"/>
                <w:sz w:val="19"/>
              </w:rPr>
              <w:t>Compliance &amp; policy questions</w:t>
            </w:r>
          </w:p>
        </w:tc>
      </w:tr>
    </w:tbl>
    <w:p>
      <w:pPr>
        <w:pBdr>
          <w:bottom w:val="single" w:sz="18" w:space="1" w:color="41B6E6"/>
        </w:pBdr>
        <w:spacing w:before="280" w:after="120"/>
      </w:pPr>
      <w:r>
        <w:rPr>
          <w:rFonts w:ascii="Calibri" w:hAnsi="Calibri"/>
          <w:b/>
          <w:color w:val="002F6C"/>
          <w:sz w:val="32"/>
        </w:rPr>
        <w:t>4.  HOW MUCH WE COULD SAVE — IN PLAIN WORDS</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SIMPLE IDEA</w:t>
            </w:r>
          </w:p>
          <w:p>
            <w:r>
              <w:rPr>
                <w:rFonts w:ascii="Calibri" w:hAnsi="Calibri"/>
                <w:color w:val="002F6C"/>
                <w:sz w:val="22"/>
              </w:rPr>
              <w:t>The report finds where the city buys the same thing from more than one vendor or department, and estimates what buying it together could save. Estimated savings = the spend we can combine × a savings rate. The rate grows the more spread-out the buying is: +3% for each extra vendor + 2% for each extra department, capped at 15%; combining many tiny vendors adds a 5% lever. Every rate is adjustable in the app.</w:t>
            </w:r>
          </w:p>
        </w:tc>
      </w:tr>
    </w:tbl>
    <w:p>
      <w:pPr>
        <w:spacing w:after="120"/>
      </w:pPr>
    </w:p>
    <w:p>
      <w:pPr>
        <w:pStyle w:val="ListBullet"/>
      </w:pPr>
      <w:r>
        <w:rPr>
          <w:rFonts w:ascii="Calibri" w:hAnsi="Calibri"/>
          <w:b/>
          <w:color w:val="002F6C"/>
          <w:sz w:val="22"/>
        </w:rPr>
        <w:t>Cash savings vs avoided costs</w:t>
      </w:r>
      <w:r>
        <w:rPr>
          <w:rFonts w:ascii="Calibri" w:hAnsi="Calibri"/>
          <w:sz w:val="22"/>
        </w:rPr>
        <w:t xml:space="preserve">  Cash savings = money that comes back to the budget. Avoided costs = money we keep from spending later. Each opportunity is split into both — default 40% cash / 60% avoided — because finance treats them differently. (The procurement terms are “hard savings” and “cost avoidance.”)</w:t>
      </w:r>
    </w:p>
    <w:p>
      <w:pPr>
        <w:pStyle w:val="ListBullet"/>
      </w:pPr>
      <w:r>
        <w:rPr>
          <w:rFonts w:ascii="Calibri" w:hAnsi="Calibri"/>
          <w:b/>
          <w:color w:val="002F6C"/>
          <w:sz w:val="22"/>
        </w:rPr>
        <w:t>Where it appears</w:t>
      </w:r>
      <w:r>
        <w:rPr>
          <w:rFonts w:ascii="Calibri" w:hAnsi="Calibri"/>
          <w:sz w:val="22"/>
        </w:rPr>
        <w:t xml:space="preserve">  “How much we could save” leads the report: the spend we can combine, the estimated savings (cash + avoided), the amount per year, and the 3-year total. “What to combine” lists each item bought from many vendors/departments with its estimated savings and what to do.</w:t>
      </w:r>
    </w:p>
    <w:p>
      <w:pPr>
        <w:spacing w:after="120"/>
      </w:pPr>
      <w:r>
        <w:rPr>
          <w:rFonts w:ascii="Calibri" w:hAnsi="Calibri"/>
          <w:sz w:val="22"/>
        </w:rPr>
        <w:t>These are estimates to show where to look first, not guaranteed savings. The spend we can combine is measured exactly from your data; the percentage is an adjustable estimate. Files carry totals, not unit prices, so this is not an exact price comparison. The plain-language definitions and real sources are on the Sources &amp; Methodology tab.</w:t>
      </w:r>
    </w:p>
    <w:p>
      <w:pPr>
        <w:pBdr>
          <w:bottom w:val="single" w:sz="18" w:space="1" w:color="41B6E6"/>
        </w:pBdr>
        <w:spacing w:before="280" w:after="120"/>
      </w:pPr>
      <w:r>
        <w:rPr>
          <w:rFonts w:ascii="Calibri" w:hAnsi="Calibri"/>
          <w:b/>
          <w:color w:val="002F6C"/>
          <w:sz w:val="32"/>
        </w:rPr>
        <w:t>5.  EVERY ROW LANDS IN A REAL CATEGORY</w:t>
      </w:r>
    </w:p>
    <w:p>
      <w:pPr>
        <w:spacing w:after="120"/>
      </w:pPr>
      <w:r>
        <w:rPr>
          <w:rFonts w:ascii="Calibri" w:hAnsi="Calibri"/>
          <w:sz w:val="22"/>
        </w:rPr>
        <w:t>There is no "Unclassified" or catch-all line in the report. Rows whose description doesn't match a specific-commodity rule are assigned to their closest of the 17 Business Categories (best-fit), so every row lands in a real category and the report total reconciles to your file exactly. The Spend by Category table carries an Examples column showing representative descriptions per category.</w:t>
      </w: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6.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Same Commodity</w:t>
      </w:r>
      <w:r>
        <w:rPr>
          <w:rFonts w:ascii="Calibri" w:hAnsi="Calibri"/>
          <w:sz w:val="22"/>
        </w:rPr>
        <w:t xml:space="preserve">  Same Commodity (NIGP code) = the same idea as Same Item, but grouped by the NIGP commodity code (5-digit item where the rule assigned one, otherwise 3-digit class) rather than the exact wording — so two differently-worded descriptions of the same commodity roll together. It is laid out as a matrix: each department is its own column (spend), shaded cells show which departments bought the commodity, and any commodity bought across two or more departments is highlighted as a consolidation target. The top consolidatable items also appear in the Executive Summary.</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7.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8.  SOURCES &amp; METHODOLOGY — WHO USES THIS MATH</w:t>
      </w:r>
    </w:p>
    <w:p>
      <w:pPr>
        <w:spacing w:after="120"/>
      </w:pPr>
      <w:r>
        <w:rPr>
          <w:rFonts w:ascii="Calibri" w:hAnsi="Calibri"/>
          <w:sz w:val="22"/>
        </w:rPr>
        <w:t>The report is built on standard spend-analysis and strategic-sourcing methods used across both public and private procurement. The addressable spend is computed from your data; the savings percentages are transparent, adjustable planning assumptions calibrated to conservative, commonly-cited ranges — not figures attributed to any single proprietary report.</w:t>
      </w:r>
    </w:p>
    <w:p>
      <w:pPr>
        <w:spacing w:before="200" w:after="40"/>
      </w:pPr>
      <w:r>
        <w:rPr>
          <w:rFonts w:ascii="Calibri" w:hAnsi="Calibri"/>
          <w:b/>
          <w:color w:val="41B6E6"/>
          <w:sz w:val="26"/>
        </w:rPr>
        <w:t>In plain words</w:t>
      </w:r>
    </w:p>
    <w:p>
      <w:pPr>
        <w:pStyle w:val="ListBullet"/>
      </w:pPr>
      <w:r>
        <w:rPr>
          <w:rFonts w:ascii="Calibri" w:hAnsi="Calibri"/>
          <w:sz w:val="22"/>
        </w:rPr>
        <w:t>This report finds where the city buys the same thing from more than one vendor or in more than one department, and estimates what combining that buying could save. The amount that could be combined is measured directly from your data; the savings percentage is an adjustable estimate you can change on the page — not a number pulled from your invoices.</w:t>
      </w:r>
    </w:p>
    <w:p>
      <w:pPr>
        <w:pStyle w:val="ListBullet"/>
      </w:pPr>
      <w:r>
        <w:rPr>
          <w:rFonts w:ascii="Calibri" w:hAnsi="Calibri"/>
          <w:sz w:val="22"/>
        </w:rPr>
        <w:t>“Cash savings” = money that comes back to the budget. “Avoided costs” = money you keep from spending later. We show both, because finance treats them differently.</w:t>
      </w:r>
    </w:p>
    <w:p>
      <w:pPr>
        <w:spacing w:before="200" w:after="40"/>
      </w:pPr>
      <w:r>
        <w:rPr>
          <w:rFonts w:ascii="Calibri" w:hAnsi="Calibri"/>
          <w:b/>
          <w:color w:val="41B6E6"/>
          <w:sz w:val="26"/>
        </w:rPr>
        <w:t>What the technical terms mean (for the detail-minded)</w:t>
      </w:r>
    </w:p>
    <w:p>
      <w:pPr>
        <w:pStyle w:val="ListBullet"/>
      </w:pPr>
      <w:r>
        <w:rPr>
          <w:rFonts w:ascii="Calibri" w:hAnsi="Calibri"/>
          <w:sz w:val="22"/>
        </w:rPr>
        <w:t>Addressable spend — the part of total spend that procurement can influence, source, or negotiate. It means spend you CAN act on; it does NOT mean spend that is already optimized.</w:t>
      </w:r>
    </w:p>
    <w:p>
      <w:pPr>
        <w:pStyle w:val="ListBullet"/>
      </w:pPr>
      <w:r>
        <w:rPr>
          <w:rFonts w:ascii="Calibri" w:hAnsi="Calibri"/>
          <w:sz w:val="22"/>
        </w:rPr>
        <w:t>Spend under management — the part of addressable spend that is already actively sourced or under contract (i.e., already being managed). This is the “already-optimized” idea.</w:t>
      </w:r>
    </w:p>
    <w:p>
      <w:pPr>
        <w:pStyle w:val="ListBullet"/>
      </w:pPr>
      <w:r>
        <w:rPr>
          <w:rFonts w:ascii="Calibri" w:hAnsi="Calibri"/>
          <w:sz w:val="22"/>
        </w:rPr>
        <w:t>Non-addressable spend — costs procurement cannot control (payroll, taxes, regulated fees, grants/pass-through). These are excluded from savings targets.</w:t>
      </w:r>
    </w:p>
    <w:p>
      <w:pPr>
        <w:pStyle w:val="ListBullet"/>
      </w:pPr>
      <w:r>
        <w:rPr>
          <w:rFonts w:ascii="Calibri" w:hAnsi="Calibri"/>
          <w:sz w:val="22"/>
        </w:rPr>
        <w:t>In this tool, to stay simple and accurate, we don’t assume a percentage for addressable spend. We measure the specific slice that can be combined (bought from more than one vendor or department) straight from your data, and call it “spend we can combine.”</w:t>
      </w:r>
    </w:p>
    <w:p>
      <w:pPr>
        <w:spacing w:before="200" w:after="40"/>
      </w:pPr>
      <w:r>
        <w:rPr>
          <w:rFonts w:ascii="Calibri" w:hAnsi="Calibri"/>
          <w:b/>
          <w:color w:val="41B6E6"/>
          <w:sz w:val="26"/>
        </w:rPr>
        <w:t>The methods used here, and who uses them</w:t>
      </w:r>
    </w:p>
    <w:p>
      <w:pPr>
        <w:pStyle w:val="ListBullet"/>
      </w:pPr>
      <w:r>
        <w:rPr>
          <w:rFonts w:ascii="Calibri" w:hAnsi="Calibri"/>
          <w:sz w:val="22"/>
        </w:rPr>
        <w:t>Spend analysis / the “spend cube” — grouping spend by commodity, supplier, and department to find opportunity. Foundational category-management practice taught by ISM and CIPS and used by every major sourcing consultancy.</w:t>
      </w:r>
    </w:p>
    <w:p>
      <w:pPr>
        <w:pStyle w:val="ListBullet"/>
      </w:pPr>
      <w:r>
        <w:rPr>
          <w:rFonts w:ascii="Calibri" w:hAnsi="Calibri"/>
          <w:sz w:val="22"/>
        </w:rPr>
        <w:t>Pareto (80/20) &amp; ABC analysis — the few categories and vendors that drive most spend. A classic tool in both public and private procurement.</w:t>
      </w:r>
    </w:p>
    <w:p>
      <w:pPr>
        <w:pStyle w:val="ListBullet"/>
      </w:pPr>
      <w:r>
        <w:rPr>
          <w:rFonts w:ascii="Calibri" w:hAnsi="Calibri"/>
          <w:sz w:val="22"/>
        </w:rPr>
        <w:t>Demand aggregation / consolidation — combining fragmented buys into one competitively-bid agreement. This is the core mechanism of public cooperative purchasing (NASPO ValuePoint, NIGP, GSA, Sourcewell, OMNIA Partners, E&amp;I) and of corporate strategic sourcing.</w:t>
      </w:r>
    </w:p>
    <w:p>
      <w:pPr>
        <w:pStyle w:val="ListBullet"/>
      </w:pPr>
      <w:r>
        <w:rPr>
          <w:rFonts w:ascii="Calibri" w:hAnsi="Calibri"/>
          <w:sz w:val="22"/>
        </w:rPr>
        <w:t>Tail-spend management — consolidating the many small suppliers that make up the last ~20% of spend.</w:t>
      </w:r>
    </w:p>
    <w:p>
      <w:pPr>
        <w:pStyle w:val="ListBullet"/>
      </w:pPr>
      <w:r>
        <w:rPr>
          <w:rFonts w:ascii="Calibri" w:hAnsi="Calibri"/>
          <w:sz w:val="22"/>
        </w:rPr>
        <w:t>Vendor rationalization — reducing overlapping suppliers within a commodity to concentrate volume and improve leverage.</w:t>
      </w:r>
    </w:p>
    <w:p>
      <w:pPr>
        <w:pStyle w:val="ListBullet"/>
      </w:pPr>
      <w:r>
        <w:rPr>
          <w:rFonts w:ascii="Calibri" w:hAnsi="Calibri"/>
          <w:sz w:val="22"/>
        </w:rPr>
        <w:t>Supplier concentration (HHI) — the Herfindahl-Hirschman Index, from antitrust economics (US DOJ / FTC), applied here to measure reliance on a few suppliers.</w:t>
      </w:r>
    </w:p>
    <w:p>
      <w:pPr>
        <w:spacing w:before="200" w:after="40"/>
      </w:pPr>
      <w:r>
        <w:rPr>
          <w:rFonts w:ascii="Calibri" w:hAnsi="Calibri"/>
          <w:b/>
          <w:color w:val="41B6E6"/>
          <w:sz w:val="26"/>
        </w:rPr>
        <w:t>How we size the opportunity</w:t>
      </w:r>
    </w:p>
    <w:p>
      <w:pPr>
        <w:pStyle w:val="ListBullet"/>
      </w:pPr>
      <w:r>
        <w:rPr>
          <w:rFonts w:ascii="Calibri" w:hAnsi="Calibri"/>
          <w:sz w:val="22"/>
        </w:rPr>
        <w:t>Savings are applied ONLY to the spend that can be combined — items bought from more than one vendor and/or department — never to total spend. Anything bought from a single vendor in a single department is left out.</w:t>
      </w:r>
    </w:p>
    <w:p>
      <w:pPr>
        <w:spacing w:before="200" w:after="40"/>
      </w:pPr>
      <w:r>
        <w:rPr>
          <w:rFonts w:ascii="Calibri" w:hAnsi="Calibri"/>
          <w:b/>
          <w:color w:val="41B6E6"/>
          <w:sz w:val="26"/>
        </w:rPr>
        <w:t>Cash savings vs avoided costs</w:t>
      </w:r>
    </w:p>
    <w:p>
      <w:pPr>
        <w:pStyle w:val="ListBullet"/>
      </w:pPr>
      <w:r>
        <w:rPr>
          <w:rFonts w:ascii="Calibri" w:hAnsi="Calibri"/>
          <w:sz w:val="22"/>
        </w:rPr>
        <w:t>Cash savings reduce the budget against a baseline — real, measurable dollars (the procurement term is “hard savings”). Avoided costs prevent or defer future cost — negotiated reductions vs market, avoided increases, less admin work (the term is “cost avoidance”). Guidance is to report the two separately so finance sees what was reduced vs prevented.</w:t>
      </w:r>
    </w:p>
    <w:p>
      <w:pPr>
        <w:pStyle w:val="ListBullet"/>
      </w:pPr>
      <w:r>
        <w:rPr>
          <w:rFonts w:ascii="Calibri" w:hAnsi="Calibri"/>
          <w:sz w:val="22"/>
        </w:rPr>
        <w:t>This report splits each opportunity into a cash portion and an avoided-cost portion (default 40% / 60%, adjustable). The split is a planning convention, not a realized result.</w:t>
      </w:r>
    </w:p>
    <w:p>
      <w:pPr>
        <w:spacing w:before="200" w:after="40"/>
      </w:pPr>
      <w:r>
        <w:rPr>
          <w:rFonts w:ascii="Calibri" w:hAnsi="Calibri"/>
          <w:b/>
          <w:color w:val="41B6E6"/>
          <w:sz w:val="26"/>
        </w:rPr>
        <w:t>Where the benchmark rates come from</w:t>
      </w:r>
    </w:p>
    <w:p>
      <w:pPr>
        <w:pStyle w:val="ListBullet"/>
      </w:pPr>
      <w:r>
        <w:rPr>
          <w:rFonts w:ascii="Calibri" w:hAnsi="Calibri"/>
          <w:sz w:val="22"/>
        </w:rPr>
        <w:t>The rates are conservative, commonly-cited strategic-sourcing / consolidation ranges. Public-sector cooperative-purchasing bodies (e.g., NIGP) cite savings of up to ~15% annually from aggregation; some analyses cite more. This tool caps any single opportunity at 15% and scales the rate with fragmentation, so estimates stay deliberately conservative.</w:t>
      </w:r>
    </w:p>
    <w:p>
      <w:pPr>
        <w:pStyle w:val="ListBullet"/>
      </w:pPr>
      <w:r>
        <w:rPr>
          <w:rFonts w:ascii="Calibri" w:hAnsi="Calibri"/>
          <w:sz w:val="22"/>
        </w:rPr>
        <w:t>These are PLANNING ESTIMATES, not guarantees. Actual results depend on execution, market conditions, contract terms, and your true baseline. Calibrate the rates to your agency’s realized savings over time.</w:t>
      </w:r>
    </w:p>
    <w:p>
      <w:pPr>
        <w:spacing w:before="200" w:after="40"/>
      </w:pPr>
      <w:r>
        <w:rPr>
          <w:rFonts w:ascii="Calibri" w:hAnsi="Calibri"/>
          <w:b/>
          <w:color w:val="41B6E6"/>
          <w:sz w:val="26"/>
        </w:rPr>
        <w:t>Public and private — both do this</w:t>
      </w:r>
    </w:p>
    <w:p>
      <w:pPr>
        <w:pStyle w:val="ListBullet"/>
      </w:pPr>
      <w:r>
        <w:rPr>
          <w:rFonts w:ascii="Calibri" w:hAnsi="Calibri"/>
          <w:sz w:val="22"/>
        </w:rPr>
        <w:t>Public sector: cooperative purchasing and category management are built on exactly this demand-aggregation math (NASPO, NIGP, GSA, regional co-ops).</w:t>
      </w:r>
    </w:p>
    <w:p>
      <w:pPr>
        <w:pStyle w:val="ListBullet"/>
      </w:pPr>
      <w:r>
        <w:rPr>
          <w:rFonts w:ascii="Calibri" w:hAnsi="Calibri"/>
          <w:sz w:val="22"/>
        </w:rPr>
        <w:t>Private sector: strategic sourcing and category management by corporate procurement teams and advisory firms use the same spend-analysis → consolidation → savings approach.</w:t>
      </w:r>
    </w:p>
    <w:p>
      <w:pPr>
        <w:spacing w:before="200" w:after="40"/>
      </w:pPr>
      <w:r>
        <w:rPr>
          <w:rFonts w:ascii="Calibri" w:hAnsi="Calibri"/>
          <w:b/>
          <w:color w:val="41B6E6"/>
          <w:sz w:val="26"/>
        </w:rPr>
        <w:t>Honest limits</w:t>
      </w:r>
    </w:p>
    <w:p>
      <w:pPr>
        <w:pStyle w:val="ListBullet"/>
      </w:pPr>
      <w:r>
        <w:rPr>
          <w:rFonts w:ascii="Calibri" w:hAnsi="Calibri"/>
          <w:sz w:val="22"/>
        </w:rPr>
        <w:t>Your file has total amounts, not unit price × quantity, so this is not an exact overpayment calculation — it is an estimate based on how spread-out the buying is and the adjustable rates. Adding unit price and quantity would allow exact price comparisons.</w:t>
      </w:r>
    </w:p>
    <w:p>
      <w:pPr>
        <w:pStyle w:val="ListBullet"/>
      </w:pPr>
      <w:r>
        <w:rPr>
          <w:rFonts w:ascii="Calibri" w:hAnsi="Calibri"/>
          <w:sz w:val="22"/>
        </w:rPr>
        <w:t>Estimates are only as good as the categorization and the rates. Review the opportunities and set the rates before presenting any firm dollar commitment.</w:t>
      </w:r>
    </w:p>
    <w:p>
      <w:pPr>
        <w:spacing w:before="200" w:after="40"/>
      </w:pPr>
      <w:r>
        <w:rPr>
          <w:rFonts w:ascii="Calibri" w:hAnsi="Calibri"/>
          <w:b/>
          <w:color w:val="41B6E6"/>
          <w:sz w:val="26"/>
        </w:rPr>
        <w:t>Reference organizations &amp; sources</w:t>
      </w:r>
    </w:p>
    <w:p>
      <w:pPr>
        <w:pStyle w:val="ListBullet"/>
      </w:pPr>
      <w:r>
        <w:rPr>
          <w:rFonts w:ascii="Calibri" w:hAnsi="Calibri"/>
          <w:sz w:val="22"/>
        </w:rPr>
        <w:t>NIGP — Cooperative Purchasing Programs — Public-procurement standards body; demand aggregation and spend analysis via NIGP codes.  (https://www.nigp.org/our-profession/cooperative-purchasing-programs)</w:t>
      </w:r>
    </w:p>
    <w:p>
      <w:pPr>
        <w:pStyle w:val="ListBullet"/>
      </w:pPr>
      <w:r>
        <w:rPr>
          <w:rFonts w:ascii="Calibri" w:hAnsi="Calibri"/>
          <w:sz w:val="22"/>
        </w:rPr>
        <w:t>NASPO ValuePoint — Why Use Cooperative Purchasing — “Cooperative procurement is a form of strategic sourcing that aggregates the spend of public bodies.”  (https://naspovaluepoint.org/cooperative-contracts/)</w:t>
      </w:r>
    </w:p>
    <w:p>
      <w:pPr>
        <w:pStyle w:val="ListBullet"/>
      </w:pPr>
      <w:r>
        <w:rPr>
          <w:rFonts w:ascii="Calibri" w:hAnsi="Calibri"/>
          <w:sz w:val="22"/>
        </w:rPr>
        <w:t>NASPO — An Introduction to Cooperative Purchasing (PDF) — Primer on demand aggregation and where savings come from.  (https://naspovaluepoint.org/wp-content/uploads/2020/08/Cooperative_Purchasing0410update.pdf)</w:t>
      </w:r>
    </w:p>
    <w:p>
      <w:pPr>
        <w:pStyle w:val="ListBullet"/>
      </w:pPr>
      <w:r>
        <w:rPr>
          <w:rFonts w:ascii="Calibri" w:hAnsi="Calibri"/>
          <w:sz w:val="22"/>
        </w:rPr>
        <w:t>SpendHQ — Tracking Cost Savings and Cost Avoidance — Definitions; report hard savings and cost avoidance separately.  (https://www.spendhq.com/blog/tracking-cost-savings-and-cost-avoidance-to-measure-procurements-performance/)</w:t>
      </w:r>
    </w:p>
    <w:p>
      <w:pPr>
        <w:pStyle w:val="ListBullet"/>
      </w:pPr>
      <w:r>
        <w:rPr>
          <w:rFonts w:ascii="Calibri" w:hAnsi="Calibri"/>
          <w:sz w:val="22"/>
        </w:rPr>
        <w:t>ProcureAbility — Hard and Soft Cost Savings in Procurement — Hard (cashable) vs soft (cost-avoidance) savings, defined.  (https://procureability.com/hard-soft-savings-procurement-guide/)</w:t>
      </w:r>
    </w:p>
    <w:p>
      <w:pPr>
        <w:pStyle w:val="ListBullet"/>
      </w:pPr>
      <w:r>
        <w:rPr>
          <w:rFonts w:ascii="Calibri" w:hAnsi="Calibri"/>
          <w:sz w:val="22"/>
        </w:rPr>
        <w:t>Institute for Supply Management (ISM) — Professional body; category management and spend-analysis standards.  (https://www.ismworld.org/)</w:t>
      </w:r>
    </w:p>
    <w:p>
      <w:pPr>
        <w:pStyle w:val="ListBullet"/>
      </w:pPr>
      <w:r>
        <w:rPr>
          <w:rFonts w:ascii="Calibri" w:hAnsi="Calibri"/>
          <w:sz w:val="22"/>
        </w:rPr>
        <w:t>Chartered Institute of Procurement &amp; Supply (CIPS) — Global procurement body; Kraljic, category management, sourcing methodology.  (https://www.cips.org/)</w:t>
      </w:r>
    </w:p>
    <w:p>
      <w:pPr>
        <w:pStyle w:val="ListBullet"/>
      </w:pPr>
      <w:r>
        <w:rPr>
          <w:rFonts w:ascii="Calibri" w:hAnsi="Calibri"/>
          <w:sz w:val="22"/>
        </w:rPr>
        <w:t>GFOA — Government Finance Officers Association — Best practices for public procurement and strategic sourcing.  (https://www.gfoa.org/)</w:t>
      </w:r>
    </w:p>
    <w:p>
      <w:pPr>
        <w:pBdr>
          <w:bottom w:val="single" w:sz="18" w:space="1" w:color="41B6E6"/>
        </w:pBdr>
        <w:spacing w:before="280" w:after="120"/>
      </w:pPr>
      <w:r>
        <w:rPr>
          <w:rFonts w:ascii="Calibri" w:hAnsi="Calibri"/>
          <w:b/>
          <w:color w:val="002F6C"/>
          <w:sz w:val="32"/>
        </w:rPr>
        <w:t>9.  HONEST LIMITS</w:t>
      </w:r>
    </w:p>
    <w:p>
      <w:pPr>
        <w:spacing w:after="120"/>
      </w:pPr>
      <w:r>
        <w:rPr>
          <w:rFonts w:ascii="Calibri" w:hAnsi="Calibri"/>
          <w:sz w:val="22"/>
        </w:rPr>
        <w:t>The rules were tuned on one agency's vocabulary, so on a very different dataset more rows start out best-fit rather than directly rule-matched. That is expected and improves as curated rules are added. Savings are ADDRESSABLE-spend, benchmark-rate ESTIMATES (cost avoidance plus a cashable hard portion), not price-variance math — your files carry totals, not unit price × quantity. The tool classifies from description text only — not vendor names or prior codes — which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