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002F6C"/>
          <w:sz w:val="44"/>
        </w:rPr>
        <w:t>Spend Report — How-To &amp; Methodology</w:t>
      </w:r>
    </w:p>
    <w:p>
      <w:pPr>
        <w:spacing w:after="0"/>
        <w:pBdr>
          <w:bottom w:val="single" w:sz="18" w:space="1" w:color="DA291C"/>
        </w:pBdr>
      </w:pPr>
      <w:r>
        <w:rPr>
          <w:rFonts w:ascii="Calibri" w:hAnsi="Calibri"/>
          <w:i/>
          <w:color w:val="41B6E6"/>
          <w:sz w:val="26"/>
        </w:rPr>
        <w:t>NIGP-Sourced Procurement Category Mapper</w:t>
      </w:r>
    </w:p>
    <w:p>
      <w:pPr>
        <w:spacing w:after="240"/>
      </w:pPr>
      <w:r>
        <w:rPr>
          <w:rFonts w:ascii="Calibri" w:hAnsi="Calibri"/>
          <w:color w:val="595959"/>
          <w:sz w:val="18"/>
        </w:rPr>
        <w:t>Independent public-sector procurement tool  •  Prepared by James H. Kirby III, CSCP, MS-SCM  •  Version 2026-08-18  •  General &amp; Other + Examples edition</w:t>
      </w:r>
    </w:p>
    <w:p>
      <w:pPr>
        <w:spacing w:after="120"/>
      </w:pPr>
      <w:r>
        <w:rPr>
          <w:rFonts w:ascii="Calibri" w:hAnsi="Calibri"/>
          <w:sz w:val="22"/>
        </w:rPr>
        <w:t>Who this is for: leadership who need to read and stand behind a spend report, and procurement staff who upload a file and produce one. Everything here is deterministic — plain arithmetic on your data. No AI runs, and your file never leaves the session.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6EE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DA291C"/>
                <w:sz w:val="22"/>
              </w:rPr>
              <w:t>THE ONE-PARAGRAPH SUMMARY</w:t>
            </w:r>
          </w:p>
          <w:p>
            <w:r>
              <w:rPr>
                <w:rFonts w:ascii="Calibri" w:hAnsi="Calibri"/>
                <w:color w:val="002F6C"/>
                <w:sz w:val="22"/>
              </w:rPr>
              <w:t>Upload a procurement spend file in any format. The tool inspects every column, figures out what each one is (description, amount, vendor, department, date, or a breakdown flag), classifies every line into a Business Category using the mapper's rules, and then runs every spend analysis the data supports — spend by category, Pareto 80/20, top vendors, consolidation, concentration, tail spend, trend, and more. It writes a data-driven executive summary and a formatted, multi-tab Excel workbook with charts. Every row lands in a real Business Category, so nothing reads as a gap, and every number is reproducible by hand.</w:t>
            </w:r>
          </w:p>
        </w:tc>
      </w:tr>
    </w:tbl>
    <w:p>
      <w:pPr>
        <w:spacing w:after="120"/>
      </w:pP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1.  WHAT YOU NEED TO RUN IT</w:t>
      </w:r>
    </w:p>
    <w:p>
      <w:pPr>
        <w:spacing w:after="120"/>
      </w:pPr>
      <w:r>
        <w:rPr>
          <w:rFonts w:ascii="Calibri" w:hAnsi="Calibri"/>
          <w:sz w:val="22"/>
        </w:rPr>
        <w:t>The only thing the report truly requires is a description column — that is what gets classified. Everything else unlocks more analysis when present, and is simply skipped when absent, with a note telling you why.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551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5386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unlocks</w:t>
            </w:r>
          </w:p>
        </w:tc>
        <w:tc>
          <w:tcPr>
            <w:tcW w:type="dxa" w:w="1417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255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5386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Classification into Business Categories — the backbone of the report</w:t>
            </w:r>
          </w:p>
        </w:tc>
        <w:tc>
          <w:tcPr>
            <w:tcW w:type="dxa" w:w="1417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Amount / spend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9"/>
              </w:rPr>
              <w:t>All dollar analysis (spend by category, Pareto, top vendors by $)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55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Vendor</w:t>
            </w:r>
          </w:p>
        </w:tc>
        <w:tc>
          <w:tcPr>
            <w:tcW w:type="dxa" w:w="5386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Top vendors, consolidation, concentration (HHI), tail spend</w:t>
            </w:r>
          </w:p>
        </w:tc>
        <w:tc>
          <w:tcPr>
            <w:tcW w:type="dxa" w:w="1417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Department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9"/>
              </w:rPr>
              <w:t>Spend by department and the category × department matrix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55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5386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Spend trend over time with year-over-year change</w:t>
            </w:r>
          </w:p>
        </w:tc>
        <w:tc>
          <w:tcPr>
            <w:tcW w:type="dxa" w:w="1417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Any flag column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9"/>
              </w:rPr>
              <w:t>A 'Spend by …' breakdown (on/off contract, diversity, status)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Without an amount column, the report gracefully falls back to transaction counts instead of dollars — every analysis still runs.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2.  HOW TO RUN IT — STEP BY STEP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1</w:t>
      </w:r>
      <w:r>
        <w:rPr>
          <w:rFonts w:ascii="Calibri" w:hAnsi="Calibri"/>
          <w:sz w:val="22"/>
        </w:rPr>
        <w:t xml:space="preserve">  Open the Spend Report page in the web app.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2</w:t>
      </w:r>
      <w:r>
        <w:rPr>
          <w:rFonts w:ascii="Calibri" w:hAnsi="Calibri"/>
          <w:sz w:val="22"/>
        </w:rPr>
        <w:t xml:space="preserve">  Upload a CSV or Excel spend file.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3</w:t>
      </w:r>
      <w:r>
        <w:rPr>
          <w:rFonts w:ascii="Calibri" w:hAnsi="Calibri"/>
          <w:sz w:val="22"/>
        </w:rPr>
        <w:t xml:space="preserve">  Confirm the detected columns. The tool guesses each column's role; in most cases you can just click Generate. Only change a box if a guess is wrong. Description is required.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4</w:t>
      </w:r>
      <w:r>
        <w:rPr>
          <w:rFonts w:ascii="Calibri" w:hAnsi="Calibri"/>
          <w:sz w:val="22"/>
        </w:rPr>
        <w:t xml:space="preserve">  Click Generate spend report. (Large files show a row cap you can adjust for a fast first look.)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5</w:t>
      </w:r>
      <w:r>
        <w:rPr>
          <w:rFonts w:ascii="Calibri" w:hAnsi="Calibri"/>
          <w:sz w:val="22"/>
        </w:rPr>
        <w:t xml:space="preserve">  Read the report on screen, then click Download full spend report (Excel) for the formatted, multi-tab workbook.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6EE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DA291C"/>
                <w:sz w:val="22"/>
              </w:rPr>
              <w:t>IT ADAPTS TO THE DATA, NOT THE OTHER WAY AROUND</w:t>
            </w:r>
          </w:p>
          <w:p>
            <w:r>
              <w:rPr>
                <w:rFonts w:ascii="Calibri" w:hAnsi="Calibri"/>
                <w:color w:val="002F6C"/>
                <w:sz w:val="22"/>
              </w:rPr>
              <w:t>Drop in any procurement spend file — the tool profiles what's there and runs whatever the data supports. It never invents data it doesn't have; if a column isn't present, the dependent analysis is skipped with a note. Your report also stays put while you move between pages in the app — it is saved for the session until you upload a new file or clear it.</w:t>
            </w:r>
          </w:p>
        </w:tc>
      </w:tr>
    </w:tbl>
    <w:p>
      <w:pPr>
        <w:spacing w:after="120"/>
      </w:pP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3.  THE REPORTS IT PRODUCES — AND THE DECISION EACH SUPPORTS</w:t>
      </w:r>
    </w:p>
    <w:p>
      <w:pPr>
        <w:spacing w:after="120"/>
      </w:pPr>
      <w:r>
        <w:rPr>
          <w:rFonts w:ascii="Calibri" w:hAnsi="Calibri"/>
          <w:sz w:val="22"/>
        </w:rPr>
        <w:t>Which of these run depends on what your file contains. The tool includes every one the data supports and skips the rest.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4139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2835"/>
            <w:shd w:val="clear" w:color="auto" w:fill="002F6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Decision it supports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Executive Summary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Headline findings in plain language + recommended first steps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Read this first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Spend by Category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Dollars &amp; share by the 17 Business Categories, with Examples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Where money goes, by what is bought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Pareto 80/20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The few categories that drive ~80% of spend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Where to focus sourcing first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Top Vendors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Largest vendors by spend and share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Vendor rationalization targets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Consolidation / Fragmentation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Categories bought from many vendors (and departments)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Where to consolidate demand — savings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Spend Trend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Spend by year with year-over-year change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Is spend rising or falling; when it peaked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Vendor Concentration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Top-1/5/10 vendor share and an HHI score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How dependent are we on a few suppliers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Tail-Spend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The many small vendors making up the last ~20%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The classic consolidation target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Single- vs Multi-Source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Categories bought from one vendor vs. many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Vendor rationalization &amp; supply risk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Spend by Department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Which departments spend, and on what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Cross-department demand</w:t>
            </w:r>
          </w:p>
        </w:tc>
      </w:tr>
      <w:tr>
        <w:tc>
          <w:tcPr>
            <w:tcW w:type="dxa" w:w="2381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Category × Dept Matrix</w:t>
            </w:r>
          </w:p>
        </w:tc>
        <w:tc>
          <w:tcPr>
            <w:tcW w:type="dxa" w:w="4139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Same commodity bought across many departments</w:t>
            </w:r>
          </w:p>
        </w:tc>
        <w:tc>
          <w:tcPr>
            <w:tcW w:type="dxa" w:w="2835"/>
            <w:shd w:val="clear" w:color="auto" w:fill="D6EEF9"/>
          </w:tcPr>
          <w:p>
            <w:r>
              <w:rPr>
                <w:rFonts w:ascii="Calibri" w:hAnsi="Calibri"/>
                <w:sz w:val="19"/>
              </w:rPr>
              <w:t>Cross-department leverage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9"/>
              </w:rPr>
              <w:t>Spend by Dimension</w:t>
            </w:r>
          </w:p>
        </w:tc>
        <w:tc>
          <w:tcPr>
            <w:tcW w:type="dxa" w:w="4139"/>
          </w:tcPr>
          <w:p>
            <w:r>
              <w:rPr>
                <w:rFonts w:ascii="Calibri" w:hAnsi="Calibri"/>
                <w:sz w:val="19"/>
              </w:rPr>
              <w:t>Breakdown by any flag (contract, diversity, status)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Compliance &amp; policy questions</w:t>
            </w:r>
          </w:p>
        </w:tc>
      </w:tr>
    </w:tbl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4.  EVERY ROW LANDS IN A REAL CATEGORY</w:t>
      </w:r>
    </w:p>
    <w:p>
      <w:pPr>
        <w:spacing w:after="120"/>
      </w:pPr>
      <w:r>
        <w:rPr>
          <w:rFonts w:ascii="Calibri" w:hAnsi="Calibri"/>
          <w:sz w:val="22"/>
        </w:rPr>
        <w:t>There is no "Unclassified" line in a spend report. Every row is placed in one of the 17 Business Categories, or — when its description doesn't match a specific-commodity rule yet — in a single, honest catch-all called "General &amp; Other Procurement." The dollars are always counted, so the report total reconciles to your file exactly.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6EE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DA291C"/>
                <w:sz w:val="22"/>
              </w:rPr>
              <w:t>WHAT “GENERAL &amp; OTHER PROCUREMENT” MEANS</w:t>
            </w:r>
          </w:p>
          <w:p>
            <w:r>
              <w:rPr>
                <w:rFonts w:ascii="Calibri" w:hAnsi="Calibri"/>
                <w:color w:val="002F6C"/>
                <w:sz w:val="22"/>
              </w:rPr>
              <w:t>It is the catch-all for purchases whose description doesn't yet map to a specific commodity — often invoice-reconciliation lines, one-off administrative entries, or descriptions the rule library hasn't learned. It is a real reporting category, not an error. The Spend by Category table includes an Examples column that shows representative descriptions from every category — including this one — so leadership can see exactly what sits inside it. To move spend out of it, add keyword rules for the most common descriptions shown in its Examples; those buys then flow into specific commodity categories.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sz w:val="22"/>
        </w:rPr>
        <w:t>One deliberate exception keeps the report clean on any file: the specialized "Grants &amp; Pass-Through Funding" category only appears when a line carries a genuine grant signal (a program-tag prefix or an explicit grant keyword). It will not fire on an ordinary commodity purchase in an uploaded file.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5.  HOW THE NUMBERS ARE CALCULATED — NO BLACK BOX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Spend by Category</w:t>
      </w:r>
      <w:r>
        <w:rPr>
          <w:rFonts w:ascii="Calibri" w:hAnsi="Calibri"/>
          <w:sz w:val="22"/>
        </w:rPr>
        <w:t xml:space="preserve">  Spend by Category = sum(amount) and row count grouped by Business Category, with each category's % of total and an Examples column. Every row is included, so the total always reconciles to your file.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Pareto</w:t>
      </w:r>
      <w:r>
        <w:rPr>
          <w:rFonts w:ascii="Calibri" w:hAnsi="Calibri"/>
          <w:sz w:val="22"/>
        </w:rPr>
        <w:t xml:space="preserve">  Pareto 80/20 = the specific-commodity category totals sorted high-to-low with a running cumulative %; the report names how many categories reach 80%. The General &amp; Other catch-all is excluded here — it isn't a single commodity to focus sourcing on.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Top Vendors</w:t>
      </w:r>
      <w:r>
        <w:rPr>
          <w:rFonts w:ascii="Calibri" w:hAnsi="Calibri"/>
          <w:sz w:val="22"/>
        </w:rPr>
        <w:t xml:space="preserve">  Top Vendors = sum(amount) grouped by vendor, sorted, with % of total.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Consolidation</w:t>
      </w:r>
      <w:r>
        <w:rPr>
          <w:rFonts w:ascii="Calibri" w:hAnsi="Calibri"/>
          <w:sz w:val="22"/>
        </w:rPr>
        <w:t xml:space="preserve">  Consolidation / Fragmentation = for each category, the distinct vendor count (and department count); categories bought from more than one vendor are flagged and ranked by spend — the biggest consolidation opportunities first.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Concentration</w:t>
      </w:r>
      <w:r>
        <w:rPr>
          <w:rFonts w:ascii="Calibri" w:hAnsi="Calibri"/>
          <w:sz w:val="22"/>
        </w:rPr>
        <w:t xml:space="preserve">  Vendor Concentration = the spend share of the top 1/5/10 vendors, plus an HHI (sum of squared vendor shares × 10,000; higher = more concentrated).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Tail Spend</w:t>
      </w:r>
      <w:r>
        <w:rPr>
          <w:rFonts w:ascii="Calibri" w:hAnsi="Calibri"/>
          <w:sz w:val="22"/>
        </w:rPr>
        <w:t xml:space="preserve">  Tail Spend = the vendors outside the top group that makes up 80% — counted and summed to show how little of total spend the long tail represents.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Trend</w:t>
      </w:r>
      <w:r>
        <w:rPr>
          <w:rFonts w:ascii="Calibri" w:hAnsi="Calibri"/>
          <w:sz w:val="22"/>
        </w:rPr>
        <w:t xml:space="preserve">  Spend Trend = sum(amount) grouped by the year of the date column, with year-over-year % change.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Coverage</w:t>
      </w:r>
      <w:r>
        <w:rPr>
          <w:rFonts w:ascii="Calibri" w:hAnsi="Calibri"/>
          <w:sz w:val="22"/>
        </w:rPr>
        <w:t xml:space="preserve">  Coverage = how many rows mapped to a specific commodity category vs. fell into General &amp; Other. This is the report's honesty check — and the Examples column shows what's in the catch-all.</w:t>
      </w:r>
    </w:p>
    <w:p>
      <w:pPr>
        <w:spacing w:after="120"/>
      </w:pPr>
      <w:r>
        <w:rPr>
          <w:rFonts w:ascii="Calibri" w:hAnsi="Calibri"/>
          <w:sz w:val="22"/>
        </w:rPr>
        <w:t>Currency text is cleaned automatically ($, commas, and parenthesized negatives are handled). Amounts that can't be parsed are treated as zero, never guessed.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6.  WHY YOU CAN TRUST IT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Deterministic</w:t>
      </w:r>
      <w:r>
        <w:rPr>
          <w:rFonts w:ascii="Calibri" w:hAnsi="Calibri"/>
          <w:sz w:val="22"/>
        </w:rPr>
        <w:t xml:space="preserve">  Deterministic — every figure is plain arithmetic you can reproduce by hand.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Rules-only</w:t>
      </w:r>
      <w:r>
        <w:rPr>
          <w:rFonts w:ascii="Calibri" w:hAnsi="Calibri"/>
          <w:sz w:val="22"/>
        </w:rPr>
        <w:t xml:space="preserve">  No AI at runtime — classification uses the same frozen rule library as the batch engine.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Private</w:t>
      </w:r>
      <w:r>
        <w:rPr>
          <w:rFonts w:ascii="Calibri" w:hAnsi="Calibri"/>
          <w:sz w:val="22"/>
        </w:rPr>
        <w:t xml:space="preserve">  Private — your file is processed in the session and is not stored or sent anywhere.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Reconciles</w:t>
      </w:r>
      <w:r>
        <w:rPr>
          <w:rFonts w:ascii="Calibri" w:hAnsi="Calibri"/>
          <w:sz w:val="22"/>
        </w:rPr>
        <w:t xml:space="preserve">  Reconciles — every row is counted, so the report total equals your file's total.</w:t>
      </w:r>
    </w:p>
    <w:p>
      <w:pPr>
        <w:pStyle w:val="ListBullet"/>
      </w:pPr>
      <w:r>
        <w:rPr>
          <w:rFonts w:ascii="Calibri" w:hAnsi="Calibri"/>
          <w:b/>
          <w:color w:val="002F6C"/>
          <w:sz w:val="22"/>
        </w:rPr>
        <w:t>Auditable</w:t>
      </w:r>
      <w:r>
        <w:rPr>
          <w:rFonts w:ascii="Calibri" w:hAnsi="Calibri"/>
          <w:sz w:val="22"/>
        </w:rPr>
        <w:t xml:space="preserve">  Auditable — the Examples column and the downloadable rule library show why any line landed where it did.</w:t>
      </w:r>
    </w:p>
    <w:p>
      <w:pPr>
        <w:pBdr>
          <w:bottom w:val="single" w:sz="18" w:space="1" w:color="41B6E6"/>
        </w:pBdr>
        <w:spacing w:before="280" w:after="120"/>
      </w:pPr>
      <w:r>
        <w:rPr>
          <w:rFonts w:ascii="Calibri" w:hAnsi="Calibri"/>
          <w:b/>
          <w:color w:val="002F6C"/>
          <w:sz w:val="32"/>
        </w:rPr>
        <w:t>7.  HONEST LIMITS</w:t>
      </w:r>
    </w:p>
    <w:p>
      <w:pPr>
        <w:spacing w:after="120"/>
      </w:pPr>
      <w:r>
        <w:rPr>
          <w:rFonts w:ascii="Calibri" w:hAnsi="Calibri"/>
          <w:sz w:val="22"/>
        </w:rPr>
        <w:t>The rules were tuned on one agency's vocabulary, so on a very different dataset the General &amp; Other share can be larger at first. That is expected and fixable: the Examples column points to the most common unmatched descriptions, and adding a few keyword rules for them moves that spend into specific categories with no new tools and no AI. The tool classifies from description text only — it does not read vendor names or any prior codes — which is what keeps the classification independent and defensible.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