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Spend Report — How-To &amp; Methodology</w:t>
      </w:r>
    </w:p>
    <w:p>
      <w:pPr>
        <w:spacing w:after="0"/>
        <w:pBdr>
          <w:bottom w:val="single" w:sz="18" w:space="1" w:color="DA291C"/>
        </w:pBdr>
      </w:pPr>
      <w:r>
        <w:rPr>
          <w:rFonts w:ascii="Calibri" w:hAnsi="Calibri"/>
          <w:i/>
          <w:color w:val="41B6E6"/>
          <w:sz w:val="26"/>
        </w:rPr>
        <w:t>NIGP-Sourced Procurement Category Mapper</w:t>
      </w:r>
    </w:p>
    <w:p>
      <w:pPr>
        <w:spacing w:after="240"/>
      </w:pPr>
      <w:r>
        <w:rPr>
          <w:rFonts w:ascii="Calibri" w:hAnsi="Calibri"/>
          <w:color w:val="595959"/>
          <w:sz w:val="18"/>
        </w:rPr>
        <w:t>Independent public-sector procurement tool  •  Prepared by James H. Kirby III, CSCP, MS-SCM  •  Version 2026-08-20  •  Savings &amp; cost-avoidance edition</w:t>
      </w:r>
    </w:p>
    <w:p>
      <w:pPr>
        <w:spacing w:after="120"/>
      </w:pPr>
      <w:r>
        <w:rPr>
          <w:rFonts w:ascii="Calibri" w:hAnsi="Calibri"/>
          <w:sz w:val="22"/>
        </w:rPr>
        <w:t>Who this is for: leadership who need to read and stand behind a spend report, and procurement staff who upload a file and produce one. Everything here is deterministic — plain arithmetic on your data. No AI runs, and your file never leaves the session.</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ONE-PARAGRAPH SUMMARY</w:t>
            </w:r>
          </w:p>
          <w:p>
            <w:r>
              <w:rPr>
                <w:rFonts w:ascii="Calibri" w:hAnsi="Calibri"/>
                <w:color w:val="002F6C"/>
                <w:sz w:val="22"/>
              </w:rPr>
              <w:t>Upload a procurement spend file in any format. The tool inspects every column, figures out what each one is (description, amount, vendor, department, date, or a breakdown flag), classifies every line into a Business Category using the mapper's rules, and then runs every spend analysis the data supports — spend by category, Pareto 80/20, top vendors, consolidation, concentration, tail spend, trend, and more. It writes a data-driven executive summary and a formatted, multi-tab Excel workbook with charts. Every row lands in a real Business Category, so nothing reads as a gap, and every number is reproducible by hand.</w:t>
            </w:r>
          </w:p>
        </w:tc>
      </w:tr>
    </w:tbl>
    <w:p>
      <w:pPr>
        <w:spacing w:after="120"/>
      </w:pPr>
    </w:p>
    <w:p>
      <w:pPr>
        <w:pBdr>
          <w:bottom w:val="single" w:sz="18" w:space="1" w:color="41B6E6"/>
        </w:pBdr>
        <w:spacing w:before="280" w:after="120"/>
      </w:pPr>
      <w:r>
        <w:rPr>
          <w:rFonts w:ascii="Calibri" w:hAnsi="Calibri"/>
          <w:b/>
          <w:color w:val="002F6C"/>
          <w:sz w:val="32"/>
        </w:rPr>
        <w:t>1.  WHAT YOU NEED TO RUN IT</w:t>
      </w:r>
    </w:p>
    <w:p>
      <w:pPr>
        <w:spacing w:after="120"/>
      </w:pPr>
      <w:r>
        <w:rPr>
          <w:rFonts w:ascii="Calibri" w:hAnsi="Calibri"/>
          <w:sz w:val="22"/>
        </w:rPr>
        <w:t>The only thing the report truly requires is a description column — that is what gets classified. Everything else unlocks more analysis when present, and is simply skipped when absent, with a note telling you why.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551"/>
            <w:shd w:val="clear" w:color="auto" w:fill="002F6C"/>
          </w:tcPr>
          <w:p>
            <w:r>
              <w:rPr>
                <w:rFonts w:ascii="Calibri" w:hAnsi="Calibri"/>
                <w:b/>
                <w:color w:val="FFFFFF"/>
                <w:sz w:val="20"/>
              </w:rPr>
              <w:t>Column</w:t>
            </w:r>
          </w:p>
        </w:tc>
        <w:tc>
          <w:tcPr>
            <w:tcW w:type="dxa" w:w="5386"/>
            <w:shd w:val="clear" w:color="auto" w:fill="002F6C"/>
          </w:tcPr>
          <w:p>
            <w:r>
              <w:rPr>
                <w:rFonts w:ascii="Calibri" w:hAnsi="Calibri"/>
                <w:b/>
                <w:color w:val="FFFFFF"/>
                <w:sz w:val="20"/>
              </w:rPr>
              <w:t>What it unlocks</w:t>
            </w:r>
          </w:p>
        </w:tc>
        <w:tc>
          <w:tcPr>
            <w:tcW w:type="dxa" w:w="1417"/>
            <w:shd w:val="clear" w:color="auto" w:fill="002F6C"/>
          </w:tcPr>
          <w:p>
            <w:r>
              <w:rPr>
                <w:rFonts w:ascii="Calibri" w:hAnsi="Calibri"/>
                <w:b/>
                <w:color w:val="FFFFFF"/>
                <w:sz w:val="20"/>
              </w:rPr>
              <w:t>Required?</w:t>
            </w:r>
          </w:p>
        </w:tc>
      </w:tr>
      <w:tr>
        <w:tc>
          <w:tcPr>
            <w:tcW w:type="dxa" w:w="2551"/>
            <w:shd w:val="clear" w:color="auto" w:fill="D6EEF9"/>
          </w:tcPr>
          <w:p>
            <w:r>
              <w:rPr>
                <w:rFonts w:ascii="Calibri" w:hAnsi="Calibri"/>
                <w:sz w:val="19"/>
              </w:rPr>
              <w:t>Description</w:t>
            </w:r>
          </w:p>
        </w:tc>
        <w:tc>
          <w:tcPr>
            <w:tcW w:type="dxa" w:w="5386"/>
            <w:shd w:val="clear" w:color="auto" w:fill="D6EEF9"/>
          </w:tcPr>
          <w:p>
            <w:r>
              <w:rPr>
                <w:rFonts w:ascii="Calibri" w:hAnsi="Calibri"/>
                <w:sz w:val="19"/>
              </w:rPr>
              <w:t>Classification into Business Categories — the backbone of the report</w:t>
            </w:r>
          </w:p>
        </w:tc>
        <w:tc>
          <w:tcPr>
            <w:tcW w:type="dxa" w:w="1417"/>
            <w:shd w:val="clear" w:color="auto" w:fill="D6EEF9"/>
          </w:tcPr>
          <w:p>
            <w:r>
              <w:rPr>
                <w:rFonts w:ascii="Calibri" w:hAnsi="Calibri"/>
                <w:sz w:val="19"/>
              </w:rPr>
              <w:t>Yes</w:t>
            </w:r>
          </w:p>
        </w:tc>
      </w:tr>
      <w:tr>
        <w:tc>
          <w:tcPr>
            <w:tcW w:type="dxa" w:w="2551"/>
          </w:tcPr>
          <w:p>
            <w:r>
              <w:rPr>
                <w:rFonts w:ascii="Calibri" w:hAnsi="Calibri"/>
                <w:sz w:val="19"/>
              </w:rPr>
              <w:t>Amount / spend</w:t>
            </w:r>
          </w:p>
        </w:tc>
        <w:tc>
          <w:tcPr>
            <w:tcW w:type="dxa" w:w="5386"/>
          </w:tcPr>
          <w:p>
            <w:r>
              <w:rPr>
                <w:rFonts w:ascii="Calibri" w:hAnsi="Calibri"/>
                <w:sz w:val="19"/>
              </w:rPr>
              <w:t>All dollar analysis (spend by category, Pareto, top vendors by $)</w:t>
            </w:r>
          </w:p>
        </w:tc>
        <w:tc>
          <w:tcPr>
            <w:tcW w:type="dxa" w:w="1417"/>
          </w:tcPr>
          <w:p>
            <w:r>
              <w:rPr>
                <w:rFonts w:ascii="Calibri" w:hAnsi="Calibri"/>
                <w:sz w:val="19"/>
              </w:rPr>
              <w:t>No</w:t>
            </w:r>
          </w:p>
        </w:tc>
      </w:tr>
      <w:tr>
        <w:tc>
          <w:tcPr>
            <w:tcW w:type="dxa" w:w="2551"/>
            <w:shd w:val="clear" w:color="auto" w:fill="D6EEF9"/>
          </w:tcPr>
          <w:p>
            <w:r>
              <w:rPr>
                <w:rFonts w:ascii="Calibri" w:hAnsi="Calibri"/>
                <w:sz w:val="19"/>
              </w:rPr>
              <w:t>Vendor</w:t>
            </w:r>
          </w:p>
        </w:tc>
        <w:tc>
          <w:tcPr>
            <w:tcW w:type="dxa" w:w="5386"/>
            <w:shd w:val="clear" w:color="auto" w:fill="D6EEF9"/>
          </w:tcPr>
          <w:p>
            <w:r>
              <w:rPr>
                <w:rFonts w:ascii="Calibri" w:hAnsi="Calibri"/>
                <w:sz w:val="19"/>
              </w:rPr>
              <w:t>Top vendors, consolidation, concentration (HHI), tail spend</w:t>
            </w:r>
          </w:p>
        </w:tc>
        <w:tc>
          <w:tcPr>
            <w:tcW w:type="dxa" w:w="1417"/>
            <w:shd w:val="clear" w:color="auto" w:fill="D6EEF9"/>
          </w:tcPr>
          <w:p>
            <w:r>
              <w:rPr>
                <w:rFonts w:ascii="Calibri" w:hAnsi="Calibri"/>
                <w:sz w:val="19"/>
              </w:rPr>
              <w:t>No</w:t>
            </w:r>
          </w:p>
        </w:tc>
      </w:tr>
      <w:tr>
        <w:tc>
          <w:tcPr>
            <w:tcW w:type="dxa" w:w="2551"/>
          </w:tcPr>
          <w:p>
            <w:r>
              <w:rPr>
                <w:rFonts w:ascii="Calibri" w:hAnsi="Calibri"/>
                <w:sz w:val="19"/>
              </w:rPr>
              <w:t>Department</w:t>
            </w:r>
          </w:p>
        </w:tc>
        <w:tc>
          <w:tcPr>
            <w:tcW w:type="dxa" w:w="5386"/>
          </w:tcPr>
          <w:p>
            <w:r>
              <w:rPr>
                <w:rFonts w:ascii="Calibri" w:hAnsi="Calibri"/>
                <w:sz w:val="19"/>
              </w:rPr>
              <w:t>Spend by department and the category × department matrix</w:t>
            </w:r>
          </w:p>
        </w:tc>
        <w:tc>
          <w:tcPr>
            <w:tcW w:type="dxa" w:w="1417"/>
          </w:tcPr>
          <w:p>
            <w:r>
              <w:rPr>
                <w:rFonts w:ascii="Calibri" w:hAnsi="Calibri"/>
                <w:sz w:val="19"/>
              </w:rPr>
              <w:t>No</w:t>
            </w:r>
          </w:p>
        </w:tc>
      </w:tr>
      <w:tr>
        <w:tc>
          <w:tcPr>
            <w:tcW w:type="dxa" w:w="2551"/>
            <w:shd w:val="clear" w:color="auto" w:fill="D6EEF9"/>
          </w:tcPr>
          <w:p>
            <w:r>
              <w:rPr>
                <w:rFonts w:ascii="Calibri" w:hAnsi="Calibri"/>
                <w:sz w:val="19"/>
              </w:rPr>
              <w:t>Date</w:t>
            </w:r>
          </w:p>
        </w:tc>
        <w:tc>
          <w:tcPr>
            <w:tcW w:type="dxa" w:w="5386"/>
            <w:shd w:val="clear" w:color="auto" w:fill="D6EEF9"/>
          </w:tcPr>
          <w:p>
            <w:r>
              <w:rPr>
                <w:rFonts w:ascii="Calibri" w:hAnsi="Calibri"/>
                <w:sz w:val="19"/>
              </w:rPr>
              <w:t>Spend trend over time with year-over-year change</w:t>
            </w:r>
          </w:p>
        </w:tc>
        <w:tc>
          <w:tcPr>
            <w:tcW w:type="dxa" w:w="1417"/>
            <w:shd w:val="clear" w:color="auto" w:fill="D6EEF9"/>
          </w:tcPr>
          <w:p>
            <w:r>
              <w:rPr>
                <w:rFonts w:ascii="Calibri" w:hAnsi="Calibri"/>
                <w:sz w:val="19"/>
              </w:rPr>
              <w:t>No</w:t>
            </w:r>
          </w:p>
        </w:tc>
      </w:tr>
      <w:tr>
        <w:tc>
          <w:tcPr>
            <w:tcW w:type="dxa" w:w="2551"/>
          </w:tcPr>
          <w:p>
            <w:r>
              <w:rPr>
                <w:rFonts w:ascii="Calibri" w:hAnsi="Calibri"/>
                <w:sz w:val="19"/>
              </w:rPr>
              <w:t>Any flag column</w:t>
            </w:r>
          </w:p>
        </w:tc>
        <w:tc>
          <w:tcPr>
            <w:tcW w:type="dxa" w:w="5386"/>
          </w:tcPr>
          <w:p>
            <w:r>
              <w:rPr>
                <w:rFonts w:ascii="Calibri" w:hAnsi="Calibri"/>
                <w:sz w:val="19"/>
              </w:rPr>
              <w:t>A 'Spend by …' breakdown (on/off contract, diversity, status)</w:t>
            </w:r>
          </w:p>
        </w:tc>
        <w:tc>
          <w:tcPr>
            <w:tcW w:type="dxa" w:w="1417"/>
          </w:tcPr>
          <w:p>
            <w:r>
              <w:rPr>
                <w:rFonts w:ascii="Calibri" w:hAnsi="Calibri"/>
                <w:sz w:val="19"/>
              </w:rPr>
              <w:t>No</w:t>
            </w:r>
          </w:p>
        </w:tc>
      </w:tr>
    </w:tbl>
    <w:p>
      <w:pPr>
        <w:spacing w:after="120"/>
      </w:pPr>
      <w:r>
        <w:rPr>
          <w:rFonts w:ascii="Calibri" w:hAnsi="Calibri"/>
          <w:sz w:val="22"/>
        </w:rPr>
        <w:t>Without an amount column, the report gracefully falls back to transaction counts instead of dollars — every analysis still runs.</w:t>
      </w:r>
    </w:p>
    <w:p>
      <w:pPr>
        <w:pBdr>
          <w:bottom w:val="single" w:sz="18" w:space="1" w:color="41B6E6"/>
        </w:pBdr>
        <w:spacing w:before="280" w:after="120"/>
      </w:pPr>
      <w:r>
        <w:rPr>
          <w:rFonts w:ascii="Calibri" w:hAnsi="Calibri"/>
          <w:b/>
          <w:color w:val="002F6C"/>
          <w:sz w:val="32"/>
        </w:rPr>
        <w:t>2.  HOW TO RUN IT — STEP BY STEP</w:t>
      </w:r>
    </w:p>
    <w:p>
      <w:pPr>
        <w:pStyle w:val="ListBullet"/>
      </w:pPr>
      <w:r>
        <w:rPr>
          <w:rFonts w:ascii="Calibri" w:hAnsi="Calibri"/>
          <w:b/>
          <w:color w:val="002F6C"/>
          <w:sz w:val="22"/>
        </w:rPr>
        <w:t>1</w:t>
      </w:r>
      <w:r>
        <w:rPr>
          <w:rFonts w:ascii="Calibri" w:hAnsi="Calibri"/>
          <w:sz w:val="22"/>
        </w:rPr>
        <w:t xml:space="preserve">  Open the Spend Report page in the web app.</w:t>
      </w:r>
    </w:p>
    <w:p>
      <w:pPr>
        <w:pStyle w:val="ListBullet"/>
      </w:pPr>
      <w:r>
        <w:rPr>
          <w:rFonts w:ascii="Calibri" w:hAnsi="Calibri"/>
          <w:b/>
          <w:color w:val="002F6C"/>
          <w:sz w:val="22"/>
        </w:rPr>
        <w:t>2</w:t>
      </w:r>
      <w:r>
        <w:rPr>
          <w:rFonts w:ascii="Calibri" w:hAnsi="Calibri"/>
          <w:sz w:val="22"/>
        </w:rPr>
        <w:t xml:space="preserve">  Upload a CSV or Excel spend file.</w:t>
      </w:r>
    </w:p>
    <w:p>
      <w:pPr>
        <w:pStyle w:val="ListBullet"/>
      </w:pPr>
      <w:r>
        <w:rPr>
          <w:rFonts w:ascii="Calibri" w:hAnsi="Calibri"/>
          <w:b/>
          <w:color w:val="002F6C"/>
          <w:sz w:val="22"/>
        </w:rPr>
        <w:t>3</w:t>
      </w:r>
      <w:r>
        <w:rPr>
          <w:rFonts w:ascii="Calibri" w:hAnsi="Calibri"/>
          <w:sz w:val="22"/>
        </w:rPr>
        <w:t xml:space="preserve">  Confirm the detected columns. The tool guesses each column's role; in most cases you can just click Generate. Only change a box if a guess is wrong. Description is required.</w:t>
      </w:r>
    </w:p>
    <w:p>
      <w:pPr>
        <w:pStyle w:val="ListBullet"/>
      </w:pPr>
      <w:r>
        <w:rPr>
          <w:rFonts w:ascii="Calibri" w:hAnsi="Calibri"/>
          <w:b/>
          <w:color w:val="002F6C"/>
          <w:sz w:val="22"/>
        </w:rPr>
        <w:t>4</w:t>
      </w:r>
      <w:r>
        <w:rPr>
          <w:rFonts w:ascii="Calibri" w:hAnsi="Calibri"/>
          <w:sz w:val="22"/>
        </w:rPr>
        <w:t xml:space="preserve">  Choose the analyses you need. A short list is ticked to start with — the savings opportunity, spend by category, Pareto 80/20 and top vendors. Add any of the deeper cuts you want; anything your file cannot support is not offered. The Executive Summary and Sources &amp; Methodology are always included.</w:t>
      </w:r>
    </w:p>
    <w:p>
      <w:pPr>
        <w:pStyle w:val="ListBullet"/>
      </w:pPr>
      <w:r>
        <w:rPr>
          <w:rFonts w:ascii="Calibri" w:hAnsi="Calibri"/>
          <w:b/>
          <w:color w:val="002F6C"/>
          <w:sz w:val="22"/>
        </w:rPr>
        <w:t>5</w:t>
      </w:r>
      <w:r>
        <w:rPr>
          <w:rFonts w:ascii="Calibri" w:hAnsi="Calibri"/>
          <w:sz w:val="22"/>
        </w:rPr>
        <w:t xml:space="preserve">  Click Generate spend report. (Large files show a row cap you can adjust for a fast first look.)</w:t>
      </w:r>
    </w:p>
    <w:p>
      <w:pPr>
        <w:pStyle w:val="ListBullet"/>
      </w:pPr>
      <w:r>
        <w:rPr>
          <w:rFonts w:ascii="Calibri" w:hAnsi="Calibri"/>
          <w:b/>
          <w:color w:val="002F6C"/>
          <w:sz w:val="22"/>
        </w:rPr>
        <w:t>6</w:t>
      </w:r>
      <w:r>
        <w:rPr>
          <w:rFonts w:ascii="Calibri" w:hAnsi="Calibri"/>
          <w:sz w:val="22"/>
        </w:rPr>
        <w:t xml:space="preserve">  Read the report on screen, then click Download full spend report (Excel) for the formatted workbook — it contains exactly the analyses you selected, each with its chart. Change the selection at any time and both update instantly.</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IT ADAPTS TO THE DATA, NOT THE OTHER WAY AROUND</w:t>
            </w:r>
          </w:p>
          <w:p>
            <w:r>
              <w:rPr>
                <w:rFonts w:ascii="Calibri" w:hAnsi="Calibri"/>
                <w:color w:val="002F6C"/>
                <w:sz w:val="22"/>
              </w:rPr>
              <w:t>Drop in any procurement spend file — the tool profiles what's there and offers whatever the data supports. It never invents data it doesn't have; if a column isn't present, the dependent analysis isn't offered, with a note saying why. Your file decides what is available; you decide what is produced. The report also stays put while you move between pages in the app — it is saved for the session until you upload a new file or clear it.</w:t>
            </w:r>
          </w:p>
        </w:tc>
      </w:tr>
    </w:tbl>
    <w:p>
      <w:pPr>
        <w:spacing w:after="120"/>
      </w:pPr>
    </w:p>
    <w:p>
      <w:pPr>
        <w:pBdr>
          <w:bottom w:val="single" w:sz="18" w:space="1" w:color="41B6E6"/>
        </w:pBdr>
        <w:spacing w:before="280" w:after="120"/>
      </w:pPr>
      <w:r>
        <w:rPr>
          <w:rFonts w:ascii="Calibri" w:hAnsi="Calibri"/>
          <w:b/>
          <w:color w:val="002F6C"/>
          <w:sz w:val="32"/>
        </w:rPr>
        <w:t>3.  THE REPORTS IT PRODUCES — AND THE DECISION EACH SUPPORTS</w:t>
      </w:r>
    </w:p>
    <w:p>
      <w:pPr>
        <w:spacing w:after="120"/>
      </w:pPr>
      <w:r>
        <w:rPr>
          <w:rFonts w:ascii="Calibri" w:hAnsi="Calibri"/>
          <w:sz w:val="22"/>
        </w:rPr>
        <w:t>Your file decides which of these are available; you decide which are produced. Pick only what you will use — a shorter report gets read. Every analysis you select brings its chart with it, on screen and on its Excel tab.</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381"/>
            <w:shd w:val="clear" w:color="auto" w:fill="002F6C"/>
          </w:tcPr>
          <w:p>
            <w:r>
              <w:rPr>
                <w:rFonts w:ascii="Calibri" w:hAnsi="Calibri"/>
                <w:b/>
                <w:color w:val="FFFFFF"/>
                <w:sz w:val="20"/>
              </w:rPr>
              <w:t>Report</w:t>
            </w:r>
          </w:p>
        </w:tc>
        <w:tc>
          <w:tcPr>
            <w:tcW w:type="dxa" w:w="4139"/>
            <w:shd w:val="clear" w:color="auto" w:fill="002F6C"/>
          </w:tcPr>
          <w:p>
            <w:r>
              <w:rPr>
                <w:rFonts w:ascii="Calibri" w:hAnsi="Calibri"/>
                <w:b/>
                <w:color w:val="FFFFFF"/>
                <w:sz w:val="20"/>
              </w:rPr>
              <w:t>What it shows</w:t>
            </w:r>
          </w:p>
        </w:tc>
        <w:tc>
          <w:tcPr>
            <w:tcW w:type="dxa" w:w="2835"/>
            <w:shd w:val="clear" w:color="auto" w:fill="002F6C"/>
          </w:tcPr>
          <w:p>
            <w:r>
              <w:rPr>
                <w:rFonts w:ascii="Calibri" w:hAnsi="Calibri"/>
                <w:b/>
                <w:color w:val="FFFFFF"/>
                <w:sz w:val="20"/>
              </w:rPr>
              <w:t>Decision it supports</w:t>
            </w:r>
          </w:p>
        </w:tc>
      </w:tr>
      <w:tr>
        <w:tc>
          <w:tcPr>
            <w:tcW w:type="dxa" w:w="2381"/>
            <w:shd w:val="clear" w:color="auto" w:fill="D6EEF9"/>
          </w:tcPr>
          <w:p>
            <w:r>
              <w:rPr>
                <w:rFonts w:ascii="Calibri" w:hAnsi="Calibri"/>
                <w:sz w:val="19"/>
              </w:rPr>
              <w:t>Executive Summary</w:t>
            </w:r>
          </w:p>
        </w:tc>
        <w:tc>
          <w:tcPr>
            <w:tcW w:type="dxa" w:w="4139"/>
            <w:shd w:val="clear" w:color="auto" w:fill="D6EEF9"/>
          </w:tcPr>
          <w:p>
            <w:r>
              <w:rPr>
                <w:rFonts w:ascii="Calibri" w:hAnsi="Calibri"/>
                <w:sz w:val="19"/>
              </w:rPr>
              <w:t>Headline findings in plain language + recommended first steps</w:t>
            </w:r>
          </w:p>
        </w:tc>
        <w:tc>
          <w:tcPr>
            <w:tcW w:type="dxa" w:w="2835"/>
            <w:shd w:val="clear" w:color="auto" w:fill="D6EEF9"/>
          </w:tcPr>
          <w:p>
            <w:r>
              <w:rPr>
                <w:rFonts w:ascii="Calibri" w:hAnsi="Calibri"/>
                <w:sz w:val="19"/>
              </w:rPr>
              <w:t>Read this first</w:t>
            </w:r>
          </w:p>
        </w:tc>
      </w:tr>
      <w:tr>
        <w:tc>
          <w:tcPr>
            <w:tcW w:type="dxa" w:w="2381"/>
          </w:tcPr>
          <w:p>
            <w:r>
              <w:rPr>
                <w:rFonts w:ascii="Calibri" w:hAnsi="Calibri"/>
                <w:sz w:val="19"/>
              </w:rPr>
              <w:t>Spend by Category</w:t>
            </w:r>
          </w:p>
        </w:tc>
        <w:tc>
          <w:tcPr>
            <w:tcW w:type="dxa" w:w="4139"/>
          </w:tcPr>
          <w:p>
            <w:r>
              <w:rPr>
                <w:rFonts w:ascii="Calibri" w:hAnsi="Calibri"/>
                <w:sz w:val="19"/>
              </w:rPr>
              <w:t>Dollars &amp; share by the 17 Business Categories, with Examples</w:t>
            </w:r>
          </w:p>
        </w:tc>
        <w:tc>
          <w:tcPr>
            <w:tcW w:type="dxa" w:w="2835"/>
          </w:tcPr>
          <w:p>
            <w:r>
              <w:rPr>
                <w:rFonts w:ascii="Calibri" w:hAnsi="Calibri"/>
                <w:sz w:val="19"/>
              </w:rPr>
              <w:t>Where money goes, by what is bought</w:t>
            </w:r>
          </w:p>
        </w:tc>
      </w:tr>
      <w:tr>
        <w:tc>
          <w:tcPr>
            <w:tcW w:type="dxa" w:w="2381"/>
            <w:shd w:val="clear" w:color="auto" w:fill="D6EEF9"/>
          </w:tcPr>
          <w:p>
            <w:r>
              <w:rPr>
                <w:rFonts w:ascii="Calibri" w:hAnsi="Calibri"/>
                <w:sz w:val="19"/>
              </w:rPr>
              <w:t>Pareto 80/20</w:t>
            </w:r>
          </w:p>
        </w:tc>
        <w:tc>
          <w:tcPr>
            <w:tcW w:type="dxa" w:w="4139"/>
            <w:shd w:val="clear" w:color="auto" w:fill="D6EEF9"/>
          </w:tcPr>
          <w:p>
            <w:r>
              <w:rPr>
                <w:rFonts w:ascii="Calibri" w:hAnsi="Calibri"/>
                <w:sz w:val="19"/>
              </w:rPr>
              <w:t>The few categories that drive ~80% of spend</w:t>
            </w:r>
          </w:p>
        </w:tc>
        <w:tc>
          <w:tcPr>
            <w:tcW w:type="dxa" w:w="2835"/>
            <w:shd w:val="clear" w:color="auto" w:fill="D6EEF9"/>
          </w:tcPr>
          <w:p>
            <w:r>
              <w:rPr>
                <w:rFonts w:ascii="Calibri" w:hAnsi="Calibri"/>
                <w:sz w:val="19"/>
              </w:rPr>
              <w:t>Where to focus sourcing first</w:t>
            </w:r>
          </w:p>
        </w:tc>
      </w:tr>
      <w:tr>
        <w:tc>
          <w:tcPr>
            <w:tcW w:type="dxa" w:w="2381"/>
          </w:tcPr>
          <w:p>
            <w:r>
              <w:rPr>
                <w:rFonts w:ascii="Calibri" w:hAnsi="Calibri"/>
                <w:sz w:val="19"/>
              </w:rPr>
              <w:t>Top Vendors</w:t>
            </w:r>
          </w:p>
        </w:tc>
        <w:tc>
          <w:tcPr>
            <w:tcW w:type="dxa" w:w="4139"/>
          </w:tcPr>
          <w:p>
            <w:r>
              <w:rPr>
                <w:rFonts w:ascii="Calibri" w:hAnsi="Calibri"/>
                <w:sz w:val="19"/>
              </w:rPr>
              <w:t>Largest vendors by spend and share</w:t>
            </w:r>
          </w:p>
        </w:tc>
        <w:tc>
          <w:tcPr>
            <w:tcW w:type="dxa" w:w="2835"/>
          </w:tcPr>
          <w:p>
            <w:r>
              <w:rPr>
                <w:rFonts w:ascii="Calibri" w:hAnsi="Calibri"/>
                <w:sz w:val="19"/>
              </w:rPr>
              <w:t>Vendor rationalization targets</w:t>
            </w:r>
          </w:p>
        </w:tc>
      </w:tr>
      <w:tr>
        <w:tc>
          <w:tcPr>
            <w:tcW w:type="dxa" w:w="2381"/>
            <w:shd w:val="clear" w:color="auto" w:fill="D6EEF9"/>
          </w:tcPr>
          <w:p>
            <w:r>
              <w:rPr>
                <w:rFonts w:ascii="Calibri" w:hAnsi="Calibri"/>
                <w:sz w:val="19"/>
              </w:rPr>
              <w:t>Consolidation / Fragmentation</w:t>
            </w:r>
          </w:p>
        </w:tc>
        <w:tc>
          <w:tcPr>
            <w:tcW w:type="dxa" w:w="4139"/>
            <w:shd w:val="clear" w:color="auto" w:fill="D6EEF9"/>
          </w:tcPr>
          <w:p>
            <w:r>
              <w:rPr>
                <w:rFonts w:ascii="Calibri" w:hAnsi="Calibri"/>
                <w:sz w:val="19"/>
              </w:rPr>
              <w:t>Categories bought from many vendors (and departments)</w:t>
            </w:r>
          </w:p>
        </w:tc>
        <w:tc>
          <w:tcPr>
            <w:tcW w:type="dxa" w:w="2835"/>
            <w:shd w:val="clear" w:color="auto" w:fill="D6EEF9"/>
          </w:tcPr>
          <w:p>
            <w:r>
              <w:rPr>
                <w:rFonts w:ascii="Calibri" w:hAnsi="Calibri"/>
                <w:sz w:val="19"/>
              </w:rPr>
              <w:t>Where to consolidate demand — savings</w:t>
            </w:r>
          </w:p>
        </w:tc>
      </w:tr>
      <w:tr>
        <w:tc>
          <w:tcPr>
            <w:tcW w:type="dxa" w:w="2381"/>
          </w:tcPr>
          <w:p>
            <w:r>
              <w:rPr>
                <w:rFonts w:ascii="Calibri" w:hAnsi="Calibri"/>
                <w:sz w:val="19"/>
              </w:rPr>
              <w:t>Same Item — Multiple Vendors / Depts</w:t>
            </w:r>
          </w:p>
        </w:tc>
        <w:tc>
          <w:tcPr>
            <w:tcW w:type="dxa" w:w="4139"/>
          </w:tcPr>
          <w:p>
            <w:r>
              <w:rPr>
                <w:rFonts w:ascii="Calibri" w:hAnsi="Calibri"/>
                <w:sz w:val="19"/>
              </w:rPr>
              <w:t>The same item bought from &gt;1 vendor and/or across &gt;1 department, with names</w:t>
            </w:r>
          </w:p>
        </w:tc>
        <w:tc>
          <w:tcPr>
            <w:tcW w:type="dxa" w:w="2835"/>
          </w:tcPr>
          <w:p>
            <w:r>
              <w:rPr>
                <w:rFonts w:ascii="Calibri" w:hAnsi="Calibri"/>
                <w:sz w:val="19"/>
              </w:rPr>
              <w:t>Line-level maverick buying — sharpest targets</w:t>
            </w:r>
          </w:p>
        </w:tc>
      </w:tr>
      <w:tr>
        <w:tc>
          <w:tcPr>
            <w:tcW w:type="dxa" w:w="2381"/>
            <w:shd w:val="clear" w:color="auto" w:fill="D6EEF9"/>
          </w:tcPr>
          <w:p>
            <w:r>
              <w:rPr>
                <w:rFonts w:ascii="Calibri" w:hAnsi="Calibri"/>
                <w:sz w:val="19"/>
              </w:rPr>
              <w:t>Same Commodity (NIGP code)</w:t>
            </w:r>
          </w:p>
        </w:tc>
        <w:tc>
          <w:tcPr>
            <w:tcW w:type="dxa" w:w="4139"/>
            <w:shd w:val="clear" w:color="auto" w:fill="D6EEF9"/>
          </w:tcPr>
          <w:p>
            <w:r>
              <w:rPr>
                <w:rFonts w:ascii="Calibri" w:hAnsi="Calibri"/>
                <w:sz w:val="19"/>
              </w:rPr>
              <w:t>Groups by NIGP commodity code so differently-worded descriptions of the same commodity roll together</w:t>
            </w:r>
          </w:p>
        </w:tc>
        <w:tc>
          <w:tcPr>
            <w:tcW w:type="dxa" w:w="2835"/>
            <w:shd w:val="clear" w:color="auto" w:fill="D6EEF9"/>
          </w:tcPr>
          <w:p>
            <w:r>
              <w:rPr>
                <w:rFonts w:ascii="Calibri" w:hAnsi="Calibri"/>
                <w:sz w:val="19"/>
              </w:rPr>
              <w:t>Catches split buying hidden behind wording differences</w:t>
            </w:r>
          </w:p>
        </w:tc>
      </w:tr>
      <w:tr>
        <w:tc>
          <w:tcPr>
            <w:tcW w:type="dxa" w:w="2381"/>
          </w:tcPr>
          <w:p>
            <w:r>
              <w:rPr>
                <w:rFonts w:ascii="Calibri" w:hAnsi="Calibri"/>
                <w:sz w:val="19"/>
              </w:rPr>
              <w:t>Top Consolidation Opportunities</w:t>
            </w:r>
          </w:p>
        </w:tc>
        <w:tc>
          <w:tcPr>
            <w:tcW w:type="dxa" w:w="4139"/>
          </w:tcPr>
          <w:p>
            <w:r>
              <w:rPr>
                <w:rFonts w:ascii="Calibri" w:hAnsi="Calibri"/>
                <w:sz w:val="19"/>
              </w:rPr>
              <w:t>Each fragmented commodity with the vendors and departments named, the wordings that rolled together, spend, estimated savings and a recommended action</w:t>
            </w:r>
          </w:p>
        </w:tc>
        <w:tc>
          <w:tcPr>
            <w:tcW w:type="dxa" w:w="2835"/>
          </w:tcPr>
          <w:p>
            <w:r>
              <w:rPr>
                <w:rFonts w:ascii="Calibri" w:hAnsi="Calibri"/>
                <w:sz w:val="19"/>
              </w:rPr>
              <w:t>Who to call, and what to put on one contract</w:t>
            </w:r>
          </w:p>
        </w:tc>
      </w:tr>
      <w:tr>
        <w:tc>
          <w:tcPr>
            <w:tcW w:type="dxa" w:w="2381"/>
            <w:shd w:val="clear" w:color="auto" w:fill="D6EEF9"/>
          </w:tcPr>
          <w:p>
            <w:r>
              <w:rPr>
                <w:rFonts w:ascii="Calibri" w:hAnsi="Calibri"/>
                <w:sz w:val="19"/>
              </w:rPr>
              <w:t>Spend Trend</w:t>
            </w:r>
          </w:p>
        </w:tc>
        <w:tc>
          <w:tcPr>
            <w:tcW w:type="dxa" w:w="4139"/>
            <w:shd w:val="clear" w:color="auto" w:fill="D6EEF9"/>
          </w:tcPr>
          <w:p>
            <w:r>
              <w:rPr>
                <w:rFonts w:ascii="Calibri" w:hAnsi="Calibri"/>
                <w:sz w:val="19"/>
              </w:rPr>
              <w:t>Spend by year with year-over-year change</w:t>
            </w:r>
          </w:p>
        </w:tc>
        <w:tc>
          <w:tcPr>
            <w:tcW w:type="dxa" w:w="2835"/>
            <w:shd w:val="clear" w:color="auto" w:fill="D6EEF9"/>
          </w:tcPr>
          <w:p>
            <w:r>
              <w:rPr>
                <w:rFonts w:ascii="Calibri" w:hAnsi="Calibri"/>
                <w:sz w:val="19"/>
              </w:rPr>
              <w:t>Is spend rising or falling; when it peaked</w:t>
            </w:r>
          </w:p>
        </w:tc>
      </w:tr>
      <w:tr>
        <w:tc>
          <w:tcPr>
            <w:tcW w:type="dxa" w:w="2381"/>
          </w:tcPr>
          <w:p>
            <w:r>
              <w:rPr>
                <w:rFonts w:ascii="Calibri" w:hAnsi="Calibri"/>
                <w:sz w:val="19"/>
              </w:rPr>
              <w:t>Vendor Concentration</w:t>
            </w:r>
          </w:p>
        </w:tc>
        <w:tc>
          <w:tcPr>
            <w:tcW w:type="dxa" w:w="4139"/>
          </w:tcPr>
          <w:p>
            <w:r>
              <w:rPr>
                <w:rFonts w:ascii="Calibri" w:hAnsi="Calibri"/>
                <w:sz w:val="19"/>
              </w:rPr>
              <w:t>Top-1/5/10 vendor share and an HHI score</w:t>
            </w:r>
          </w:p>
        </w:tc>
        <w:tc>
          <w:tcPr>
            <w:tcW w:type="dxa" w:w="2835"/>
          </w:tcPr>
          <w:p>
            <w:r>
              <w:rPr>
                <w:rFonts w:ascii="Calibri" w:hAnsi="Calibri"/>
                <w:sz w:val="19"/>
              </w:rPr>
              <w:t>How dependent are we on a few suppliers</w:t>
            </w:r>
          </w:p>
        </w:tc>
      </w:tr>
      <w:tr>
        <w:tc>
          <w:tcPr>
            <w:tcW w:type="dxa" w:w="2381"/>
            <w:shd w:val="clear" w:color="auto" w:fill="D6EEF9"/>
          </w:tcPr>
          <w:p>
            <w:r>
              <w:rPr>
                <w:rFonts w:ascii="Calibri" w:hAnsi="Calibri"/>
                <w:sz w:val="19"/>
              </w:rPr>
              <w:t>Tail-Spend</w:t>
            </w:r>
          </w:p>
        </w:tc>
        <w:tc>
          <w:tcPr>
            <w:tcW w:type="dxa" w:w="4139"/>
            <w:shd w:val="clear" w:color="auto" w:fill="D6EEF9"/>
          </w:tcPr>
          <w:p>
            <w:r>
              <w:rPr>
                <w:rFonts w:ascii="Calibri" w:hAnsi="Calibri"/>
                <w:sz w:val="19"/>
              </w:rPr>
              <w:t>The many small vendors making up the last ~20%</w:t>
            </w:r>
          </w:p>
        </w:tc>
        <w:tc>
          <w:tcPr>
            <w:tcW w:type="dxa" w:w="2835"/>
            <w:shd w:val="clear" w:color="auto" w:fill="D6EEF9"/>
          </w:tcPr>
          <w:p>
            <w:r>
              <w:rPr>
                <w:rFonts w:ascii="Calibri" w:hAnsi="Calibri"/>
                <w:sz w:val="19"/>
              </w:rPr>
              <w:t>The classic consolidation target</w:t>
            </w:r>
          </w:p>
        </w:tc>
      </w:tr>
      <w:tr>
        <w:tc>
          <w:tcPr>
            <w:tcW w:type="dxa" w:w="2381"/>
          </w:tcPr>
          <w:p>
            <w:r>
              <w:rPr>
                <w:rFonts w:ascii="Calibri" w:hAnsi="Calibri"/>
                <w:sz w:val="19"/>
              </w:rPr>
              <w:t>Single- vs Multi-Source</w:t>
            </w:r>
          </w:p>
        </w:tc>
        <w:tc>
          <w:tcPr>
            <w:tcW w:type="dxa" w:w="4139"/>
          </w:tcPr>
          <w:p>
            <w:r>
              <w:rPr>
                <w:rFonts w:ascii="Calibri" w:hAnsi="Calibri"/>
                <w:sz w:val="19"/>
              </w:rPr>
              <w:t>Categories bought from one vendor vs. many</w:t>
            </w:r>
          </w:p>
        </w:tc>
        <w:tc>
          <w:tcPr>
            <w:tcW w:type="dxa" w:w="2835"/>
          </w:tcPr>
          <w:p>
            <w:r>
              <w:rPr>
                <w:rFonts w:ascii="Calibri" w:hAnsi="Calibri"/>
                <w:sz w:val="19"/>
              </w:rPr>
              <w:t>Vendor rationalization &amp; supply risk</w:t>
            </w:r>
          </w:p>
        </w:tc>
      </w:tr>
      <w:tr>
        <w:tc>
          <w:tcPr>
            <w:tcW w:type="dxa" w:w="2381"/>
            <w:shd w:val="clear" w:color="auto" w:fill="D6EEF9"/>
          </w:tcPr>
          <w:p>
            <w:r>
              <w:rPr>
                <w:rFonts w:ascii="Calibri" w:hAnsi="Calibri"/>
                <w:sz w:val="19"/>
              </w:rPr>
              <w:t>Spend by Department</w:t>
            </w:r>
          </w:p>
        </w:tc>
        <w:tc>
          <w:tcPr>
            <w:tcW w:type="dxa" w:w="4139"/>
            <w:shd w:val="clear" w:color="auto" w:fill="D6EEF9"/>
          </w:tcPr>
          <w:p>
            <w:r>
              <w:rPr>
                <w:rFonts w:ascii="Calibri" w:hAnsi="Calibri"/>
                <w:sz w:val="19"/>
              </w:rPr>
              <w:t>Which departments spend, and on what</w:t>
            </w:r>
          </w:p>
        </w:tc>
        <w:tc>
          <w:tcPr>
            <w:tcW w:type="dxa" w:w="2835"/>
            <w:shd w:val="clear" w:color="auto" w:fill="D6EEF9"/>
          </w:tcPr>
          <w:p>
            <w:r>
              <w:rPr>
                <w:rFonts w:ascii="Calibri" w:hAnsi="Calibri"/>
                <w:sz w:val="19"/>
              </w:rPr>
              <w:t>Cross-department demand</w:t>
            </w:r>
          </w:p>
        </w:tc>
      </w:tr>
      <w:tr>
        <w:tc>
          <w:tcPr>
            <w:tcW w:type="dxa" w:w="2381"/>
          </w:tcPr>
          <w:p>
            <w:r>
              <w:rPr>
                <w:rFonts w:ascii="Calibri" w:hAnsi="Calibri"/>
                <w:sz w:val="19"/>
              </w:rPr>
              <w:t>Category × Dept Matrix</w:t>
            </w:r>
          </w:p>
        </w:tc>
        <w:tc>
          <w:tcPr>
            <w:tcW w:type="dxa" w:w="4139"/>
          </w:tcPr>
          <w:p>
            <w:r>
              <w:rPr>
                <w:rFonts w:ascii="Calibri" w:hAnsi="Calibri"/>
                <w:sz w:val="19"/>
              </w:rPr>
              <w:t>Same commodity bought across many departments</w:t>
            </w:r>
          </w:p>
        </w:tc>
        <w:tc>
          <w:tcPr>
            <w:tcW w:type="dxa" w:w="2835"/>
          </w:tcPr>
          <w:p>
            <w:r>
              <w:rPr>
                <w:rFonts w:ascii="Calibri" w:hAnsi="Calibri"/>
                <w:sz w:val="19"/>
              </w:rPr>
              <w:t>Cross-department leverage</w:t>
            </w:r>
          </w:p>
        </w:tc>
      </w:tr>
      <w:tr>
        <w:tc>
          <w:tcPr>
            <w:tcW w:type="dxa" w:w="2381"/>
            <w:shd w:val="clear" w:color="auto" w:fill="D6EEF9"/>
          </w:tcPr>
          <w:p>
            <w:r>
              <w:rPr>
                <w:rFonts w:ascii="Calibri" w:hAnsi="Calibri"/>
                <w:sz w:val="19"/>
              </w:rPr>
              <w:t>Spend by Dimension</w:t>
            </w:r>
          </w:p>
        </w:tc>
        <w:tc>
          <w:tcPr>
            <w:tcW w:type="dxa" w:w="4139"/>
            <w:shd w:val="clear" w:color="auto" w:fill="D6EEF9"/>
          </w:tcPr>
          <w:p>
            <w:r>
              <w:rPr>
                <w:rFonts w:ascii="Calibri" w:hAnsi="Calibri"/>
                <w:sz w:val="19"/>
              </w:rPr>
              <w:t>Breakdown by any flag (contract, diversity, status)</w:t>
            </w:r>
          </w:p>
        </w:tc>
        <w:tc>
          <w:tcPr>
            <w:tcW w:type="dxa" w:w="2835"/>
            <w:shd w:val="clear" w:color="auto" w:fill="D6EEF9"/>
          </w:tcPr>
          <w:p>
            <w:r>
              <w:rPr>
                <w:rFonts w:ascii="Calibri" w:hAnsi="Calibri"/>
                <w:sz w:val="19"/>
              </w:rPr>
              <w:t>Compliance &amp; policy questions</w:t>
            </w:r>
          </w:p>
        </w:tc>
      </w:tr>
    </w:tbl>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OPPORTUNITIES TAB NAMES NAMES</w:t>
            </w:r>
          </w:p>
          <w:p>
            <w:r>
              <w:rPr>
                <w:rFonts w:ascii="Calibri" w:hAnsi="Calibri"/>
                <w:color w:val="002F6C"/>
                <w:sz w:val="22"/>
              </w:rPr>
              <w:t>Top Consolidation Opportunities does not stop at “bought from 12 vendors.” It lists the vendors and the departments by name, ordered by spend, so the suppliers worth a conversation come first. It also shows every description that rolled together under that row — which lets you check the grouping rather than take it on trust. If a row was matched on a 3-digit NIGP class, that column is where you would see two things that are not really the same commodity sitting together, and judge for yourself. Headers carry sort/filter dropdowns and the item name stays pinned as you scroll right. Long vendor lists are capped, with a “+N more” tail.</w:t>
            </w:r>
          </w:p>
        </w:tc>
      </w:tr>
    </w:tbl>
    <w:p>
      <w:pPr>
        <w:spacing w:after="120"/>
      </w:pP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NUMBERS DO NOT DEPEND ON WHAT YOU TICK</w:t>
            </w:r>
          </w:p>
          <w:p>
            <w:r>
              <w:rPr>
                <w:rFonts w:ascii="Calibri" w:hAnsi="Calibri"/>
                <w:color w:val="002F6C"/>
                <w:sz w:val="22"/>
              </w:rPr>
              <w:t>Every analysis is calculated on every run, whatever you select. This is deliberate: the savings figures are derived from the consolidation analysis, so if unticking a box changed the maths, the headline would move depending on who was reading it — and nobody could defend that in a budget hearing. Your selection changes what is shown and exported, never how anything is computed. It is also why changing your mind after the report has run costs nothing: nothing is re-classified or recalculated, so the report and the workbook update on the spot.</w:t>
            </w:r>
          </w:p>
        </w:tc>
      </w:tr>
    </w:tbl>
    <w:p>
      <w:pPr>
        <w:spacing w:after="120"/>
      </w:pPr>
    </w:p>
    <w:p>
      <w:pPr>
        <w:pBdr>
          <w:bottom w:val="single" w:sz="18" w:space="1" w:color="41B6E6"/>
        </w:pBdr>
        <w:spacing w:before="280" w:after="120"/>
      </w:pPr>
      <w:r>
        <w:rPr>
          <w:rFonts w:ascii="Calibri" w:hAnsi="Calibri"/>
          <w:b/>
          <w:color w:val="002F6C"/>
          <w:sz w:val="32"/>
        </w:rPr>
        <w:t>4.  HOW MUCH WE COULD SAVE — IN PLAIN WORDS</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SIMPLE IDEA</w:t>
            </w:r>
          </w:p>
          <w:p>
            <w:r>
              <w:rPr>
                <w:rFonts w:ascii="Calibri" w:hAnsi="Calibri"/>
                <w:color w:val="002F6C"/>
                <w:sz w:val="22"/>
              </w:rPr>
              <w:t>The report finds where the city buys the same thing from more than one vendor or department, and estimates what buying it together could save. Estimated savings = the spend we can combine × a savings rate. The rate grows the more spread-out the buying is: +3% for each extra vendor + 2% for each extra department, capped at 15%; combining many tiny vendors adds a 5% lever. Every rate is adjustable in the app.</w:t>
            </w:r>
          </w:p>
        </w:tc>
      </w:tr>
    </w:tbl>
    <w:p>
      <w:pPr>
        <w:spacing w:after="120"/>
      </w:pPr>
    </w:p>
    <w:p>
      <w:pPr>
        <w:pStyle w:val="ListBullet"/>
      </w:pPr>
      <w:r>
        <w:rPr>
          <w:rFonts w:ascii="Calibri" w:hAnsi="Calibri"/>
          <w:b/>
          <w:color w:val="002F6C"/>
          <w:sz w:val="22"/>
        </w:rPr>
        <w:t>Cash savings vs avoided costs</w:t>
      </w:r>
      <w:r>
        <w:rPr>
          <w:rFonts w:ascii="Calibri" w:hAnsi="Calibri"/>
          <w:sz w:val="22"/>
        </w:rPr>
        <w:t xml:space="preserve">  Cash savings = money that comes back to the budget. Avoided costs = money we keep from spending later. Each opportunity is split into both — default 40% cash / 60% avoided — because finance treats them differently. (The procurement terms are “hard savings” and “cost avoidance.”)</w:t>
      </w:r>
    </w:p>
    <w:p>
      <w:pPr>
        <w:pStyle w:val="ListBullet"/>
      </w:pPr>
      <w:r>
        <w:rPr>
          <w:rFonts w:ascii="Calibri" w:hAnsi="Calibri"/>
          <w:b/>
          <w:color w:val="002F6C"/>
          <w:sz w:val="22"/>
        </w:rPr>
        <w:t>Where it appears</w:t>
      </w:r>
      <w:r>
        <w:rPr>
          <w:rFonts w:ascii="Calibri" w:hAnsi="Calibri"/>
          <w:sz w:val="22"/>
        </w:rPr>
        <w:t xml:space="preserve">  “How much we could save” leads the report: the spend we can combine, the estimated savings (cash + avoided), the amount per year, and the 3-year total. “What to combine” lists each item bought from many vendors/departments with its estimated savings and what to do.</w:t>
      </w:r>
    </w:p>
    <w:p>
      <w:pPr>
        <w:spacing w:after="120"/>
      </w:pPr>
      <w:r>
        <w:rPr>
          <w:rFonts w:ascii="Calibri" w:hAnsi="Calibri"/>
          <w:sz w:val="22"/>
        </w:rPr>
        <w:t>These are estimates to show where to look first, not guaranteed savings. The spend we can combine is measured exactly from your data; the percentage is an adjustable estimate. Files carry totals, not unit prices, so this is not an exact price comparison. The plain-language definitions and real sources are on the Sources &amp; Methodology tab.</w:t>
      </w:r>
    </w:p>
    <w:p>
      <w:pPr>
        <w:pBdr>
          <w:bottom w:val="single" w:sz="18" w:space="1" w:color="41B6E6"/>
        </w:pBdr>
        <w:spacing w:before="280" w:after="120"/>
      </w:pPr>
      <w:r>
        <w:rPr>
          <w:rFonts w:ascii="Calibri" w:hAnsi="Calibri"/>
          <w:b/>
          <w:color w:val="002F6C"/>
          <w:sz w:val="32"/>
        </w:rPr>
        <w:t>5.  EVERY ROW LANDS IN A REAL CATEGORY</w:t>
      </w:r>
    </w:p>
    <w:p>
      <w:pPr>
        <w:spacing w:after="120"/>
      </w:pPr>
      <w:r>
        <w:rPr>
          <w:rFonts w:ascii="Calibri" w:hAnsi="Calibri"/>
          <w:sz w:val="22"/>
        </w:rPr>
        <w:t>There is no "Unclassified" or catch-all line in the report. Rows whose description doesn't match a specific-commodity rule are assigned to their closest of the 17 Business Categories (best-fit), so every row lands in a real category and the report total reconciles to your file exactly. The Spend by Category table carries an Examples column showing representative descriptions per category.</w:t>
      </w:r>
    </w:p>
    <w:p>
      <w:pPr>
        <w:spacing w:after="120"/>
      </w:pPr>
      <w:r>
        <w:rPr>
          <w:rFonts w:ascii="Calibri" w:hAnsi="Calibri"/>
          <w:sz w:val="22"/>
        </w:rPr>
        <w:t>One deliberate exception keeps the report clean on any file: the specialized "Grants &amp; Pass-Through Funding" category only appears when a line carries a genuine grant signal (a program-tag prefix or an explicit grant keyword). It will not fire on an ordinary commodity purchase in an uploaded file.</w:t>
      </w:r>
    </w:p>
    <w:p>
      <w:pPr>
        <w:pBdr>
          <w:bottom w:val="single" w:sz="18" w:space="1" w:color="41B6E6"/>
        </w:pBdr>
        <w:spacing w:before="280" w:after="120"/>
      </w:pPr>
      <w:r>
        <w:rPr>
          <w:rFonts w:ascii="Calibri" w:hAnsi="Calibri"/>
          <w:b/>
          <w:color w:val="002F6C"/>
          <w:sz w:val="32"/>
        </w:rPr>
        <w:t>6.  HOW THE NUMBERS ARE CALCULATED — NO BLACK BOX</w:t>
      </w:r>
    </w:p>
    <w:p>
      <w:pPr>
        <w:pStyle w:val="ListBullet"/>
      </w:pPr>
      <w:r>
        <w:rPr>
          <w:rFonts w:ascii="Calibri" w:hAnsi="Calibri"/>
          <w:b/>
          <w:color w:val="002F6C"/>
          <w:sz w:val="22"/>
        </w:rPr>
        <w:t>Spend by Category</w:t>
      </w:r>
      <w:r>
        <w:rPr>
          <w:rFonts w:ascii="Calibri" w:hAnsi="Calibri"/>
          <w:sz w:val="22"/>
        </w:rPr>
        <w:t xml:space="preserve">  Spend by Category = sum(amount) and row count grouped by Business Category, with each category's % of total and an Examples column. Every row is included, so the total always reconciles to your file.</w:t>
      </w:r>
    </w:p>
    <w:p>
      <w:pPr>
        <w:pStyle w:val="ListBullet"/>
      </w:pPr>
      <w:r>
        <w:rPr>
          <w:rFonts w:ascii="Calibri" w:hAnsi="Calibri"/>
          <w:b/>
          <w:color w:val="002F6C"/>
          <w:sz w:val="22"/>
        </w:rPr>
        <w:t>Pareto</w:t>
      </w:r>
      <w:r>
        <w:rPr>
          <w:rFonts w:ascii="Calibri" w:hAnsi="Calibri"/>
          <w:sz w:val="22"/>
        </w:rPr>
        <w:t xml:space="preserve">  Pareto 80/20 = the specific-commodity category totals sorted high-to-low with a running cumulative %; the report names how many categories reach 80%.</w:t>
      </w:r>
    </w:p>
    <w:p>
      <w:pPr>
        <w:pStyle w:val="ListBullet"/>
      </w:pPr>
      <w:r>
        <w:rPr>
          <w:rFonts w:ascii="Calibri" w:hAnsi="Calibri"/>
          <w:b/>
          <w:color w:val="002F6C"/>
          <w:sz w:val="22"/>
        </w:rPr>
        <w:t>Top Vendors</w:t>
      </w:r>
      <w:r>
        <w:rPr>
          <w:rFonts w:ascii="Calibri" w:hAnsi="Calibri"/>
          <w:sz w:val="22"/>
        </w:rPr>
        <w:t xml:space="preserve">  Top Vendors = sum(amount) grouped by vendor, sorted, with % of total.</w:t>
      </w:r>
    </w:p>
    <w:p>
      <w:pPr>
        <w:pStyle w:val="ListBullet"/>
      </w:pPr>
      <w:r>
        <w:rPr>
          <w:rFonts w:ascii="Calibri" w:hAnsi="Calibri"/>
          <w:b/>
          <w:color w:val="002F6C"/>
          <w:sz w:val="22"/>
        </w:rPr>
        <w:t>Consolidation</w:t>
      </w:r>
      <w:r>
        <w:rPr>
          <w:rFonts w:ascii="Calibri" w:hAnsi="Calibri"/>
          <w:sz w:val="22"/>
        </w:rPr>
        <w:t xml:space="preserve">  Consolidation / Fragmentation = for each category, the distinct vendor count (and department count); categories bought from more than one vendor are flagged and ranked by spend — the biggest consolidation opportunities first.</w:t>
      </w:r>
    </w:p>
    <w:p>
      <w:pPr>
        <w:pStyle w:val="ListBullet"/>
      </w:pPr>
      <w:r>
        <w:rPr>
          <w:rFonts w:ascii="Calibri" w:hAnsi="Calibri"/>
          <w:b/>
          <w:color w:val="002F6C"/>
          <w:sz w:val="22"/>
        </w:rPr>
        <w:t>Same Item</w:t>
      </w:r>
      <w:r>
        <w:rPr>
          <w:rFonts w:ascii="Calibri" w:hAnsi="Calibri"/>
          <w:sz w:val="22"/>
        </w:rPr>
        <w:t xml:space="preserve">  Same Item — Multiple Vendors / Departments = group rows by the exact item description, count distinct vendors and departments per item and sum spend, then keep only items bought from more than one vendor or across more than one department. Vendor and department names are shown. Grouping is exact text — no fuzzy matching — so a flag is real, not inferred.</w:t>
      </w:r>
    </w:p>
    <w:p>
      <w:pPr>
        <w:pStyle w:val="ListBullet"/>
      </w:pPr>
      <w:r>
        <w:rPr>
          <w:rFonts w:ascii="Calibri" w:hAnsi="Calibri"/>
          <w:b/>
          <w:color w:val="002F6C"/>
          <w:sz w:val="22"/>
        </w:rPr>
        <w:t>Same Commodity</w:t>
      </w:r>
      <w:r>
        <w:rPr>
          <w:rFonts w:ascii="Calibri" w:hAnsi="Calibri"/>
          <w:sz w:val="22"/>
        </w:rPr>
        <w:t xml:space="preserve">  Same Commodity (NIGP code) = the same idea as Same Item, but grouped by the NIGP commodity code (5-digit item where the rule assigned one, otherwise 3-digit class) rather than the exact wording — so two differently-worded descriptions of the same commodity roll together. It is laid out as a matrix: each department is its own column (spend), shaded cells show which departments bought the commodity, and any commodity bought across two or more departments is highlighted as a consolidation target. The top consolidatable items also appear in the Executive Summary.</w:t>
      </w:r>
    </w:p>
    <w:p>
      <w:pPr>
        <w:pStyle w:val="ListBullet"/>
      </w:pPr>
      <w:r>
        <w:rPr>
          <w:rFonts w:ascii="Calibri" w:hAnsi="Calibri"/>
          <w:b/>
          <w:color w:val="002F6C"/>
          <w:sz w:val="22"/>
        </w:rPr>
        <w:t>Concentration</w:t>
      </w:r>
      <w:r>
        <w:rPr>
          <w:rFonts w:ascii="Calibri" w:hAnsi="Calibri"/>
          <w:sz w:val="22"/>
        </w:rPr>
        <w:t xml:space="preserve">  Vendor Concentration = the spend share of the top 1/5/10 vendors, plus an HHI (sum of squared vendor shares × 10,000; higher = more concentrated).</w:t>
      </w:r>
    </w:p>
    <w:p>
      <w:pPr>
        <w:pStyle w:val="ListBullet"/>
      </w:pPr>
      <w:r>
        <w:rPr>
          <w:rFonts w:ascii="Calibri" w:hAnsi="Calibri"/>
          <w:b/>
          <w:color w:val="002F6C"/>
          <w:sz w:val="22"/>
        </w:rPr>
        <w:t>Tail Spend</w:t>
      </w:r>
      <w:r>
        <w:rPr>
          <w:rFonts w:ascii="Calibri" w:hAnsi="Calibri"/>
          <w:sz w:val="22"/>
        </w:rPr>
        <w:t xml:space="preserve">  Tail Spend = the vendors outside the top group that makes up 80% — counted and summed to show how little of total spend the long tail represents.</w:t>
      </w:r>
    </w:p>
    <w:p>
      <w:pPr>
        <w:pStyle w:val="ListBullet"/>
      </w:pPr>
      <w:r>
        <w:rPr>
          <w:rFonts w:ascii="Calibri" w:hAnsi="Calibri"/>
          <w:b/>
          <w:color w:val="002F6C"/>
          <w:sz w:val="22"/>
        </w:rPr>
        <w:t>Trend</w:t>
      </w:r>
      <w:r>
        <w:rPr>
          <w:rFonts w:ascii="Calibri" w:hAnsi="Calibri"/>
          <w:sz w:val="22"/>
        </w:rPr>
        <w:t xml:space="preserve">  Spend Trend = sum(amount) grouped by the year of the date column, with year-over-year % change.</w:t>
      </w:r>
    </w:p>
    <w:p>
      <w:pPr>
        <w:pStyle w:val="ListBullet"/>
      </w:pPr>
      <w:r>
        <w:rPr>
          <w:rFonts w:ascii="Calibri" w:hAnsi="Calibri"/>
          <w:b/>
          <w:color w:val="002F6C"/>
          <w:sz w:val="22"/>
        </w:rPr>
        <w:t>Coverage</w:t>
      </w:r>
      <w:r>
        <w:rPr>
          <w:rFonts w:ascii="Calibri" w:hAnsi="Calibri"/>
          <w:sz w:val="22"/>
        </w:rPr>
        <w:t xml:space="preserve">  Coverage = how many rows mapped to a specific commodity category vs. fell into General &amp; Other. This is the report's honesty check — and the Examples column shows what's in the catch-all.</w:t>
      </w:r>
    </w:p>
    <w:p>
      <w:pPr>
        <w:spacing w:after="120"/>
      </w:pPr>
      <w:r>
        <w:rPr>
          <w:rFonts w:ascii="Calibri" w:hAnsi="Calibri"/>
          <w:sz w:val="22"/>
        </w:rPr>
        <w:t>Currency text is cleaned automatically ($, commas, and parenthesized negatives are handled). Amounts that can't be parsed are treated as zero, never guessed.</w:t>
      </w:r>
    </w:p>
    <w:p>
      <w:pPr>
        <w:pBdr>
          <w:bottom w:val="single" w:sz="18" w:space="1" w:color="41B6E6"/>
        </w:pBdr>
        <w:spacing w:before="280" w:after="120"/>
      </w:pPr>
      <w:r>
        <w:rPr>
          <w:rFonts w:ascii="Calibri" w:hAnsi="Calibri"/>
          <w:b/>
          <w:color w:val="002F6C"/>
          <w:sz w:val="32"/>
        </w:rPr>
        <w:t>7.  WHY YOU CAN TRUST IT</w:t>
      </w:r>
    </w:p>
    <w:p>
      <w:pPr>
        <w:pStyle w:val="ListBullet"/>
      </w:pPr>
      <w:r>
        <w:rPr>
          <w:rFonts w:ascii="Calibri" w:hAnsi="Calibri"/>
          <w:b/>
          <w:color w:val="002F6C"/>
          <w:sz w:val="22"/>
        </w:rPr>
        <w:t>Deterministic</w:t>
      </w:r>
      <w:r>
        <w:rPr>
          <w:rFonts w:ascii="Calibri" w:hAnsi="Calibri"/>
          <w:sz w:val="22"/>
        </w:rPr>
        <w:t xml:space="preserve">  Deterministic — every figure is plain arithmetic you can reproduce by hand.</w:t>
      </w:r>
    </w:p>
    <w:p>
      <w:pPr>
        <w:pStyle w:val="ListBullet"/>
      </w:pPr>
      <w:r>
        <w:rPr>
          <w:rFonts w:ascii="Calibri" w:hAnsi="Calibri"/>
          <w:b/>
          <w:color w:val="002F6C"/>
          <w:sz w:val="22"/>
        </w:rPr>
        <w:t>Rules-only</w:t>
      </w:r>
      <w:r>
        <w:rPr>
          <w:rFonts w:ascii="Calibri" w:hAnsi="Calibri"/>
          <w:sz w:val="22"/>
        </w:rPr>
        <w:t xml:space="preserve">  No AI at runtime — classification uses the same frozen rule library as the batch engine.</w:t>
      </w:r>
    </w:p>
    <w:p>
      <w:pPr>
        <w:pStyle w:val="ListBullet"/>
      </w:pPr>
      <w:r>
        <w:rPr>
          <w:rFonts w:ascii="Calibri" w:hAnsi="Calibri"/>
          <w:b/>
          <w:color w:val="002F6C"/>
          <w:sz w:val="22"/>
        </w:rPr>
        <w:t>Private</w:t>
      </w:r>
      <w:r>
        <w:rPr>
          <w:rFonts w:ascii="Calibri" w:hAnsi="Calibri"/>
          <w:sz w:val="22"/>
        </w:rPr>
        <w:t xml:space="preserve">  Private — your file is processed in the session and is not stored or sent anywhere.</w:t>
      </w:r>
    </w:p>
    <w:p>
      <w:pPr>
        <w:pStyle w:val="ListBullet"/>
      </w:pPr>
      <w:r>
        <w:rPr>
          <w:rFonts w:ascii="Calibri" w:hAnsi="Calibri"/>
          <w:b/>
          <w:color w:val="002F6C"/>
          <w:sz w:val="22"/>
        </w:rPr>
        <w:t>Reconciles</w:t>
      </w:r>
      <w:r>
        <w:rPr>
          <w:rFonts w:ascii="Calibri" w:hAnsi="Calibri"/>
          <w:sz w:val="22"/>
        </w:rPr>
        <w:t xml:space="preserve">  Reconciles — every row is counted, so the report total equals your file's total.</w:t>
      </w:r>
    </w:p>
    <w:p>
      <w:pPr>
        <w:pStyle w:val="ListBullet"/>
      </w:pPr>
      <w:r>
        <w:rPr>
          <w:rFonts w:ascii="Calibri" w:hAnsi="Calibri"/>
          <w:b/>
          <w:color w:val="002F6C"/>
          <w:sz w:val="22"/>
        </w:rPr>
        <w:t>Auditable</w:t>
      </w:r>
      <w:r>
        <w:rPr>
          <w:rFonts w:ascii="Calibri" w:hAnsi="Calibri"/>
          <w:sz w:val="22"/>
        </w:rPr>
        <w:t xml:space="preserve">  Auditable — the Examples column and the downloadable rule library show why any line landed where it did.</w:t>
      </w:r>
    </w:p>
    <w:p>
      <w:pPr>
        <w:pBdr>
          <w:bottom w:val="single" w:sz="18" w:space="1" w:color="41B6E6"/>
        </w:pBdr>
        <w:spacing w:before="280" w:after="120"/>
      </w:pPr>
      <w:r>
        <w:rPr>
          <w:rFonts w:ascii="Calibri" w:hAnsi="Calibri"/>
          <w:b/>
          <w:color w:val="002F6C"/>
          <w:sz w:val="32"/>
        </w:rPr>
        <w:t>8.  SOURCES &amp; METHODOLOGY — WHO USES THIS MATH</w:t>
      </w:r>
    </w:p>
    <w:p>
      <w:pPr>
        <w:spacing w:after="120"/>
      </w:pPr>
      <w:r>
        <w:rPr>
          <w:rFonts w:ascii="Calibri" w:hAnsi="Calibri"/>
          <w:sz w:val="22"/>
        </w:rPr>
        <w:t>The report is built on standard spend-analysis and strategic-sourcing methods used across both public and private procurement. The addressable spend is computed from your data; the savings percentages are transparent, adjustable planning assumptions calibrated to conservative, commonly-cited ranges — not figures attributed to any single proprietary report.</w:t>
      </w:r>
    </w:p>
    <w:p>
      <w:pPr>
        <w:spacing w:before="200" w:after="40"/>
      </w:pPr>
      <w:r>
        <w:rPr>
          <w:rFonts w:ascii="Calibri" w:hAnsi="Calibri"/>
          <w:b/>
          <w:color w:val="41B6E6"/>
          <w:sz w:val="26"/>
        </w:rPr>
        <w:t>In plain words</w:t>
      </w:r>
    </w:p>
    <w:p>
      <w:pPr>
        <w:pStyle w:val="ListBullet"/>
      </w:pPr>
      <w:r>
        <w:rPr>
          <w:rFonts w:ascii="Calibri" w:hAnsi="Calibri"/>
          <w:sz w:val="22"/>
        </w:rPr>
        <w:t>This report finds where the city buys the same thing from more than one vendor or in more than one department, and estimates what combining that buying could save. The amount that could be combined is measured directly from your data; the savings percentage is an adjustable estimate you can change on the page — not a number pulled from your invoices.</w:t>
      </w:r>
    </w:p>
    <w:p>
      <w:pPr>
        <w:pStyle w:val="ListBullet"/>
      </w:pPr>
      <w:r>
        <w:rPr>
          <w:rFonts w:ascii="Calibri" w:hAnsi="Calibri"/>
          <w:sz w:val="22"/>
        </w:rPr>
        <w:t>“Cash savings” = money that comes back to the budget. “Avoided costs” = money you keep from spending later. We show both, because finance treats them differently.</w:t>
      </w:r>
    </w:p>
    <w:p>
      <w:pPr>
        <w:spacing w:before="200" w:after="40"/>
      </w:pPr>
      <w:r>
        <w:rPr>
          <w:rFonts w:ascii="Calibri" w:hAnsi="Calibri"/>
          <w:b/>
          <w:color w:val="41B6E6"/>
          <w:sz w:val="26"/>
        </w:rPr>
        <w:t>What the technical terms mean (for the detail-minded)</w:t>
      </w:r>
    </w:p>
    <w:p>
      <w:pPr>
        <w:pStyle w:val="ListBullet"/>
      </w:pPr>
      <w:r>
        <w:rPr>
          <w:rFonts w:ascii="Calibri" w:hAnsi="Calibri"/>
          <w:sz w:val="22"/>
        </w:rPr>
        <w:t>Addressable spend — the part of total spend that procurement can influence, source, or negotiate. It means spend you CAN act on; it does NOT mean spend that is already optimized.</w:t>
      </w:r>
    </w:p>
    <w:p>
      <w:pPr>
        <w:pStyle w:val="ListBullet"/>
      </w:pPr>
      <w:r>
        <w:rPr>
          <w:rFonts w:ascii="Calibri" w:hAnsi="Calibri"/>
          <w:sz w:val="22"/>
        </w:rPr>
        <w:t>Spend under management — the part of addressable spend that is already actively sourced or under contract (i.e., already being managed). This is the “already-optimized” idea.</w:t>
      </w:r>
    </w:p>
    <w:p>
      <w:pPr>
        <w:pStyle w:val="ListBullet"/>
      </w:pPr>
      <w:r>
        <w:rPr>
          <w:rFonts w:ascii="Calibri" w:hAnsi="Calibri"/>
          <w:sz w:val="22"/>
        </w:rPr>
        <w:t>Non-addressable spend — costs procurement cannot control (payroll, taxes, regulated fees, grants/pass-through). These are excluded from savings targets.</w:t>
      </w:r>
    </w:p>
    <w:p>
      <w:pPr>
        <w:pStyle w:val="ListBullet"/>
      </w:pPr>
      <w:r>
        <w:rPr>
          <w:rFonts w:ascii="Calibri" w:hAnsi="Calibri"/>
          <w:sz w:val="22"/>
        </w:rPr>
        <w:t>In this tool, to stay simple and accurate, we don’t assume a percentage for addressable spend. We measure the specific slice that can be combined (bought from more than one vendor or department) straight from your data, and call it “spend we can combine.”</w:t>
      </w:r>
    </w:p>
    <w:p>
      <w:pPr>
        <w:spacing w:before="200" w:after="40"/>
      </w:pPr>
      <w:r>
        <w:rPr>
          <w:rFonts w:ascii="Calibri" w:hAnsi="Calibri"/>
          <w:b/>
          <w:color w:val="41B6E6"/>
          <w:sz w:val="26"/>
        </w:rPr>
        <w:t>The methods used here, and who uses them</w:t>
      </w:r>
    </w:p>
    <w:p>
      <w:pPr>
        <w:pStyle w:val="ListBullet"/>
      </w:pPr>
      <w:r>
        <w:rPr>
          <w:rFonts w:ascii="Calibri" w:hAnsi="Calibri"/>
          <w:sz w:val="22"/>
        </w:rPr>
        <w:t>Spend analysis / the “spend cube” — grouping spend by commodity, supplier, and department to find opportunity. Foundational category-management practice taught by ISM and CIPS and used by every major sourcing consultancy.</w:t>
      </w:r>
    </w:p>
    <w:p>
      <w:pPr>
        <w:pStyle w:val="ListBullet"/>
      </w:pPr>
      <w:r>
        <w:rPr>
          <w:rFonts w:ascii="Calibri" w:hAnsi="Calibri"/>
          <w:sz w:val="22"/>
        </w:rPr>
        <w:t>Pareto (80/20) &amp; ABC analysis — the few categories and vendors that drive most spend. A classic tool in both public and private procurement.</w:t>
      </w:r>
    </w:p>
    <w:p>
      <w:pPr>
        <w:pStyle w:val="ListBullet"/>
      </w:pPr>
      <w:r>
        <w:rPr>
          <w:rFonts w:ascii="Calibri" w:hAnsi="Calibri"/>
          <w:sz w:val="22"/>
        </w:rPr>
        <w:t>Demand aggregation / consolidation — combining fragmented buys into one competitively-bid agreement. This is the core mechanism of public cooperative purchasing (NASPO ValuePoint, NIGP, GSA, Sourcewell, OMNIA Partners, E&amp;I) and of corporate strategic sourcing.</w:t>
      </w:r>
    </w:p>
    <w:p>
      <w:pPr>
        <w:pStyle w:val="ListBullet"/>
      </w:pPr>
      <w:r>
        <w:rPr>
          <w:rFonts w:ascii="Calibri" w:hAnsi="Calibri"/>
          <w:sz w:val="22"/>
        </w:rPr>
        <w:t>Tail-spend management — consolidating the many small suppliers that make up the last ~20% of spend.</w:t>
      </w:r>
    </w:p>
    <w:p>
      <w:pPr>
        <w:pStyle w:val="ListBullet"/>
      </w:pPr>
      <w:r>
        <w:rPr>
          <w:rFonts w:ascii="Calibri" w:hAnsi="Calibri"/>
          <w:sz w:val="22"/>
        </w:rPr>
        <w:t>Vendor rationalization — reducing overlapping suppliers within a commodity to concentrate volume and improve leverage.</w:t>
      </w:r>
    </w:p>
    <w:p>
      <w:pPr>
        <w:pStyle w:val="ListBullet"/>
      </w:pPr>
      <w:r>
        <w:rPr>
          <w:rFonts w:ascii="Calibri" w:hAnsi="Calibri"/>
          <w:sz w:val="22"/>
        </w:rPr>
        <w:t>Supplier concentration (HHI) — the Herfindahl-Hirschman Index, from antitrust economics (US DOJ / FTC), applied here to measure reliance on a few suppliers.</w:t>
      </w:r>
    </w:p>
    <w:p>
      <w:pPr>
        <w:spacing w:before="200" w:after="40"/>
      </w:pPr>
      <w:r>
        <w:rPr>
          <w:rFonts w:ascii="Calibri" w:hAnsi="Calibri"/>
          <w:b/>
          <w:color w:val="41B6E6"/>
          <w:sz w:val="26"/>
        </w:rPr>
        <w:t>How we size the opportunity</w:t>
      </w:r>
    </w:p>
    <w:p>
      <w:pPr>
        <w:pStyle w:val="ListBullet"/>
      </w:pPr>
      <w:r>
        <w:rPr>
          <w:rFonts w:ascii="Calibri" w:hAnsi="Calibri"/>
          <w:sz w:val="22"/>
        </w:rPr>
        <w:t>Savings are applied ONLY to the spend that can be combined — items bought from more than one vendor and/or department — never to total spend. Anything bought from a single vendor in a single department is left out.</w:t>
      </w:r>
    </w:p>
    <w:p>
      <w:pPr>
        <w:spacing w:before="200" w:after="40"/>
      </w:pPr>
      <w:r>
        <w:rPr>
          <w:rFonts w:ascii="Calibri" w:hAnsi="Calibri"/>
          <w:b/>
          <w:color w:val="41B6E6"/>
          <w:sz w:val="26"/>
        </w:rPr>
        <w:t>Cash savings vs avoided costs</w:t>
      </w:r>
    </w:p>
    <w:p>
      <w:pPr>
        <w:pStyle w:val="ListBullet"/>
      </w:pPr>
      <w:r>
        <w:rPr>
          <w:rFonts w:ascii="Calibri" w:hAnsi="Calibri"/>
          <w:sz w:val="22"/>
        </w:rPr>
        <w:t>Cash savings reduce the budget against a baseline — real, measurable dollars (the procurement term is “hard savings”). Avoided costs prevent or defer future cost — negotiated reductions vs market, avoided increases, less admin work (the term is “cost avoidance”). Guidance is to report the two separately so finance sees what was reduced vs prevented.</w:t>
      </w:r>
    </w:p>
    <w:p>
      <w:pPr>
        <w:pStyle w:val="ListBullet"/>
      </w:pPr>
      <w:r>
        <w:rPr>
          <w:rFonts w:ascii="Calibri" w:hAnsi="Calibri"/>
          <w:sz w:val="22"/>
        </w:rPr>
        <w:t>This report splits each opportunity into a cash portion and an avoided-cost portion (default 40% / 60%, adjustable). The split is a planning convention, not a realized result.</w:t>
      </w:r>
    </w:p>
    <w:p>
      <w:pPr>
        <w:spacing w:before="200" w:after="40"/>
      </w:pPr>
      <w:r>
        <w:rPr>
          <w:rFonts w:ascii="Calibri" w:hAnsi="Calibri"/>
          <w:b/>
          <w:color w:val="41B6E6"/>
          <w:sz w:val="26"/>
        </w:rPr>
        <w:t>Where the benchmark rates come from</w:t>
      </w:r>
    </w:p>
    <w:p>
      <w:pPr>
        <w:pStyle w:val="ListBullet"/>
      </w:pPr>
      <w:r>
        <w:rPr>
          <w:rFonts w:ascii="Calibri" w:hAnsi="Calibri"/>
          <w:sz w:val="22"/>
        </w:rPr>
        <w:t>The rates are conservative, commonly-cited strategic-sourcing / consolidation ranges. Public-sector cooperative-purchasing bodies (e.g., NIGP) cite savings of up to ~15% annually from aggregation; some analyses cite more. This tool caps any single opportunity at 15% and scales the rate with fragmentation, so estimates stay deliberately conservative.</w:t>
      </w:r>
    </w:p>
    <w:p>
      <w:pPr>
        <w:pStyle w:val="ListBullet"/>
      </w:pPr>
      <w:r>
        <w:rPr>
          <w:rFonts w:ascii="Calibri" w:hAnsi="Calibri"/>
          <w:sz w:val="22"/>
        </w:rPr>
        <w:t>These are PLANNING ESTIMATES, not guarantees. Actual results depend on execution, market conditions, contract terms, and your true baseline. Calibrate the rates to your agency’s realized savings over time.</w:t>
      </w:r>
    </w:p>
    <w:p>
      <w:pPr>
        <w:spacing w:before="200" w:after="40"/>
      </w:pPr>
      <w:r>
        <w:rPr>
          <w:rFonts w:ascii="Calibri" w:hAnsi="Calibri"/>
          <w:b/>
          <w:color w:val="41B6E6"/>
          <w:sz w:val="26"/>
        </w:rPr>
        <w:t>Public and private — both do this</w:t>
      </w:r>
    </w:p>
    <w:p>
      <w:pPr>
        <w:pStyle w:val="ListBullet"/>
      </w:pPr>
      <w:r>
        <w:rPr>
          <w:rFonts w:ascii="Calibri" w:hAnsi="Calibri"/>
          <w:sz w:val="22"/>
        </w:rPr>
        <w:t>Public sector: cooperative purchasing and category management are built on exactly this demand-aggregation math (NASPO, NIGP, GSA, regional co-ops).</w:t>
      </w:r>
    </w:p>
    <w:p>
      <w:pPr>
        <w:pStyle w:val="ListBullet"/>
      </w:pPr>
      <w:r>
        <w:rPr>
          <w:rFonts w:ascii="Calibri" w:hAnsi="Calibri"/>
          <w:sz w:val="22"/>
        </w:rPr>
        <w:t>Private sector: strategic sourcing and category management by corporate procurement teams and advisory firms use the same spend-analysis → consolidation → savings approach.</w:t>
      </w:r>
    </w:p>
    <w:p>
      <w:pPr>
        <w:spacing w:before="200" w:after="40"/>
      </w:pPr>
      <w:r>
        <w:rPr>
          <w:rFonts w:ascii="Calibri" w:hAnsi="Calibri"/>
          <w:b/>
          <w:color w:val="41B6E6"/>
          <w:sz w:val="26"/>
        </w:rPr>
        <w:t>Honest limits</w:t>
      </w:r>
    </w:p>
    <w:p>
      <w:pPr>
        <w:pStyle w:val="ListBullet"/>
      </w:pPr>
      <w:r>
        <w:rPr>
          <w:rFonts w:ascii="Calibri" w:hAnsi="Calibri"/>
          <w:sz w:val="22"/>
        </w:rPr>
        <w:t>Your file has total amounts, not unit price × quantity, so this is not an exact overpayment calculation — it is an estimate based on how spread-out the buying is and the adjustable rates. Adding unit price and quantity would allow exact price comparisons.</w:t>
      </w:r>
    </w:p>
    <w:p>
      <w:pPr>
        <w:pStyle w:val="ListBullet"/>
      </w:pPr>
      <w:r>
        <w:rPr>
          <w:rFonts w:ascii="Calibri" w:hAnsi="Calibri"/>
          <w:sz w:val="22"/>
        </w:rPr>
        <w:t>Estimates are only as good as the categorization and the rates. Review the opportunities and set the rates before presenting any firm dollar commitment.</w:t>
      </w:r>
    </w:p>
    <w:p>
      <w:pPr>
        <w:spacing w:before="200" w:after="40"/>
      </w:pPr>
      <w:r>
        <w:rPr>
          <w:rFonts w:ascii="Calibri" w:hAnsi="Calibri"/>
          <w:b/>
          <w:color w:val="41B6E6"/>
          <w:sz w:val="26"/>
        </w:rPr>
        <w:t>Reference organizations &amp; sources</w:t>
      </w:r>
    </w:p>
    <w:p>
      <w:pPr>
        <w:pStyle w:val="ListBullet"/>
      </w:pPr>
      <w:r>
        <w:rPr>
          <w:rFonts w:ascii="Calibri" w:hAnsi="Calibri"/>
          <w:sz w:val="22"/>
        </w:rPr>
        <w:t>NIGP — Cooperative Purchasing Programs — Public-procurement standards body; demand aggregation and spend analysis via NIGP codes.  (https://www.nigp.org/our-profession/cooperative-purchasing-programs)</w:t>
      </w:r>
    </w:p>
    <w:p>
      <w:pPr>
        <w:pStyle w:val="ListBullet"/>
      </w:pPr>
      <w:r>
        <w:rPr>
          <w:rFonts w:ascii="Calibri" w:hAnsi="Calibri"/>
          <w:sz w:val="22"/>
        </w:rPr>
        <w:t>NASPO ValuePoint — Why Use Cooperative Purchasing — “Cooperative procurement is a form of strategic sourcing that aggregates the spend of public bodies.”  (https://naspovaluepoint.org/cooperative-contracts/)</w:t>
      </w:r>
    </w:p>
    <w:p>
      <w:pPr>
        <w:pStyle w:val="ListBullet"/>
      </w:pPr>
      <w:r>
        <w:rPr>
          <w:rFonts w:ascii="Calibri" w:hAnsi="Calibri"/>
          <w:sz w:val="22"/>
        </w:rPr>
        <w:t>NASPO — An Introduction to Cooperative Purchasing (PDF) — Primer on demand aggregation and where savings come from.  (https://naspovaluepoint.org/wp-content/uploads/2020/08/Cooperative_Purchasing0410update.pdf)</w:t>
      </w:r>
    </w:p>
    <w:p>
      <w:pPr>
        <w:pStyle w:val="ListBullet"/>
      </w:pPr>
      <w:r>
        <w:rPr>
          <w:rFonts w:ascii="Calibri" w:hAnsi="Calibri"/>
          <w:sz w:val="22"/>
        </w:rPr>
        <w:t>SpendHQ — Tracking Cost Savings and Cost Avoidance — Definitions; report hard savings and cost avoidance separately.  (https://www.spendhq.com/blog/tracking-cost-savings-and-cost-avoidance-to-measure-procurements-performance/)</w:t>
      </w:r>
    </w:p>
    <w:p>
      <w:pPr>
        <w:pStyle w:val="ListBullet"/>
      </w:pPr>
      <w:r>
        <w:rPr>
          <w:rFonts w:ascii="Calibri" w:hAnsi="Calibri"/>
          <w:sz w:val="22"/>
        </w:rPr>
        <w:t>ProcureAbility — Hard and Soft Cost Savings in Procurement — Hard (cashable) vs soft (cost-avoidance) savings, defined.  (https://procureability.com/hard-soft-savings-procurement-guide/)</w:t>
      </w:r>
    </w:p>
    <w:p>
      <w:pPr>
        <w:pStyle w:val="ListBullet"/>
      </w:pPr>
      <w:r>
        <w:rPr>
          <w:rFonts w:ascii="Calibri" w:hAnsi="Calibri"/>
          <w:sz w:val="22"/>
        </w:rPr>
        <w:t>Institute for Supply Management (ISM) — Professional body; category management and spend-analysis standards.  (https://www.ismworld.org/)</w:t>
      </w:r>
    </w:p>
    <w:p>
      <w:pPr>
        <w:pStyle w:val="ListBullet"/>
      </w:pPr>
      <w:r>
        <w:rPr>
          <w:rFonts w:ascii="Calibri" w:hAnsi="Calibri"/>
          <w:sz w:val="22"/>
        </w:rPr>
        <w:t>Chartered Institute of Procurement &amp; Supply (CIPS) — Global procurement body; Kraljic, category management, sourcing methodology.  (https://www.cips.org/)</w:t>
      </w:r>
    </w:p>
    <w:p>
      <w:pPr>
        <w:pStyle w:val="ListBullet"/>
      </w:pPr>
      <w:r>
        <w:rPr>
          <w:rFonts w:ascii="Calibri" w:hAnsi="Calibri"/>
          <w:sz w:val="22"/>
        </w:rPr>
        <w:t>GFOA — Government Finance Officers Association — Best practices for public procurement and strategic sourcing.  (https://www.gfoa.org/)</w:t>
      </w:r>
    </w:p>
    <w:p>
      <w:pPr>
        <w:pBdr>
          <w:bottom w:val="single" w:sz="18" w:space="1" w:color="41B6E6"/>
        </w:pBdr>
        <w:spacing w:before="280" w:after="120"/>
      </w:pPr>
      <w:r>
        <w:rPr>
          <w:rFonts w:ascii="Calibri" w:hAnsi="Calibri"/>
          <w:b/>
          <w:color w:val="002F6C"/>
          <w:sz w:val="32"/>
        </w:rPr>
        <w:t>9.  HONEST LIMITS</w:t>
      </w:r>
    </w:p>
    <w:p>
      <w:pPr>
        <w:spacing w:after="120"/>
      </w:pPr>
      <w:r>
        <w:rPr>
          <w:rFonts w:ascii="Calibri" w:hAnsi="Calibri"/>
          <w:sz w:val="22"/>
        </w:rPr>
        <w:t>The rules were tuned on one agency's vocabulary, so on a very different dataset more rows start out best-fit rather than directly rule-matched. That is expected and improves as curated rules are added. Savings are ADDRESSABLE-spend, benchmark-rate ESTIMATES (cost avoidance plus a cashable hard portion), not price-variance math — your files carry totals, not unit price × quantity. The tool classifies from description text only — not vendor names or prior codes — which keeps the classification independent and defensible.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