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002F6C"/>
          <w:sz w:val="44"/>
        </w:rPr>
        <w:t>NIGP-Sourced Procurement Category Mapper</w:t>
      </w:r>
    </w:p>
    <w:p>
      <w:pPr>
        <w:spacing w:after="0"/>
        <w:pBdr>
          <w:bottom w:val="single" w:sz="18" w:space="1" w:color="DA291C"/>
        </w:pBdr>
      </w:pPr>
      <w:r>
        <w:rPr>
          <w:rFonts w:ascii="Calibri" w:hAnsi="Calibri"/>
          <w:i/>
          <w:color w:val="41B6E6"/>
          <w:sz w:val="26"/>
        </w:rPr>
        <w:t>Project Case Study &amp; Capability Reference — for Contract Administration &amp; Supply Chain</w:t>
      </w:r>
    </w:p>
    <w:p>
      <w:pPr>
        <w:spacing w:after="240"/>
      </w:pPr>
      <w:r>
        <w:rPr>
          <w:rFonts w:ascii="Calibri" w:hAnsi="Calibri"/>
          <w:color w:val="595959"/>
          <w:sz w:val="18"/>
        </w:rPr>
        <w:t>City of Chicago  •  Department of Procurement Services  •  James H. Kirby III, CSCP, MS-SCM  •  Personal capability reference, June 2026</w:t>
      </w:r>
    </w:p>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AT A GLANCE</w:t>
            </w:r>
          </w:p>
          <w:p>
            <w:r>
              <w:rPr>
                <w:rFonts w:ascii="Calibri" w:hAnsi="Calibri"/>
                <w:color w:val="002F6C"/>
                <w:sz w:val="22"/>
              </w:rPr>
              <w:t>784,556 City procurement records classified at 100% coverage  •  0 records left in a manual-review backlog  •  a 17-category MECE taxonomy aligned to the public NIGP standard  •  AI used once (~$27 total); the production runtime is rules-only and fully auditable  •  delivered as a live, deployed web tool.</w:t>
            </w:r>
          </w:p>
        </w:tc>
      </w:tr>
    </w:tbl>
    <w:p>
      <w:pPr>
        <w:spacing w:after="120"/>
      </w:pPr>
    </w:p>
    <w:p>
      <w:pPr>
        <w:pBdr>
          <w:bottom w:val="single" w:sz="18" w:space="1" w:color="41B6E6"/>
        </w:pBdr>
        <w:spacing w:before="280" w:after="120"/>
      </w:pPr>
      <w:r>
        <w:rPr>
          <w:rFonts w:ascii="Calibri" w:hAnsi="Calibri"/>
          <w:b/>
          <w:color w:val="002F6C"/>
          <w:sz w:val="32"/>
        </w:rPr>
        <w:t>THE CHALLENGE</w:t>
      </w:r>
    </w:p>
    <w:p>
      <w:pPr>
        <w:spacing w:after="120"/>
      </w:pPr>
      <w:r>
        <w:rPr>
          <w:rFonts w:ascii="Calibri" w:hAnsi="Calibri"/>
          <w:sz w:val="22"/>
        </w:rPr>
        <w:t>The City of Chicago, like most public agencies, did not maintain its own commodity classification of what it buys. Without one, the most basic strategic questions go unanswered: where does the spend actually go, which commodities are bought across multiple departments without coordination, and can any single purchase be traced and defended in an audit?</w:t>
      </w:r>
    </w:p>
    <w:p>
      <w:pPr>
        <w:spacing w:after="120"/>
      </w:pPr>
      <w:r>
        <w:rPr>
          <w:rFonts w:ascii="Calibri" w:hAnsi="Calibri"/>
          <w:sz w:val="22"/>
        </w:rPr>
        <w:t>The raw material was a 784,556-row City of Chicago procurement transaction history — a consultant-delivered extract covering AP activity years 2017, 2020, 2021, and 2023, with messy descriptions, inconsistent formatting, and no owned taxonomy. The goal: turn it into a clean, auditable, industry-standard category structure the City could own and reuse.</w:t>
      </w:r>
    </w:p>
    <w:p>
      <w:pPr>
        <w:pBdr>
          <w:bottom w:val="single" w:sz="18" w:space="1" w:color="41B6E6"/>
        </w:pBdr>
        <w:spacing w:before="280" w:after="120"/>
      </w:pPr>
      <w:r>
        <w:rPr>
          <w:rFonts w:ascii="Calibri" w:hAnsi="Calibri"/>
          <w:b/>
          <w:color w:val="002F6C"/>
          <w:sz w:val="32"/>
        </w:rPr>
        <w:t>WHAT I BUILT</w:t>
      </w:r>
    </w:p>
    <w:p>
      <w:pPr>
        <w:pStyle w:val="ListBullet"/>
      </w:pPr>
      <w:r>
        <w:rPr>
          <w:rFonts w:ascii="Calibri" w:hAnsi="Calibri"/>
          <w:b/>
          <w:color w:val="002F6C"/>
          <w:sz w:val="22"/>
        </w:rPr>
        <w:t>A three-level taxonomy.</w:t>
      </w:r>
      <w:r>
        <w:rPr>
          <w:rFonts w:ascii="Calibri" w:hAnsi="Calibri"/>
          <w:sz w:val="22"/>
        </w:rPr>
        <w:t xml:space="preserve">  Every record is assigned a leadership-friendly Business Category, a 3-digit NIGP Class, and — where the description supports it — a 5-digit NIGP Item. 17 categories → 138 classes → 470 items.</w:t>
      </w:r>
    </w:p>
    <w:p>
      <w:pPr>
        <w:pStyle w:val="ListBullet"/>
      </w:pPr>
      <w:r>
        <w:rPr>
          <w:rFonts w:ascii="Calibri" w:hAnsi="Calibri"/>
          <w:b/>
          <w:color w:val="002F6C"/>
          <w:sz w:val="22"/>
        </w:rPr>
        <w:t>A reusable engine.</w:t>
      </w:r>
      <w:r>
        <w:rPr>
          <w:rFonts w:ascii="Calibri" w:hAnsi="Calibri"/>
          <w:sz w:val="22"/>
        </w:rPr>
        <w:t xml:space="preserve">  A dual-mode classification engine: one core function that runs both a full historical batch and a single paste-a-description lookup for live work.</w:t>
      </w:r>
    </w:p>
    <w:p>
      <w:pPr>
        <w:pStyle w:val="ListBullet"/>
      </w:pPr>
      <w:r>
        <w:rPr>
          <w:rFonts w:ascii="Calibri" w:hAnsi="Calibri"/>
          <w:b/>
          <w:color w:val="002F6C"/>
          <w:sz w:val="22"/>
        </w:rPr>
        <w:t>A live web tool.</w:t>
      </w:r>
      <w:r>
        <w:rPr>
          <w:rFonts w:ascii="Calibri" w:hAnsi="Calibri"/>
          <w:sz w:val="22"/>
        </w:rPr>
        <w:t xml:space="preserve">  A deployed, password-gated web application where staff can classify a description, bulk-classify a file, browse the taxonomy logic, and look up the exact rule behind any decision.</w:t>
      </w:r>
    </w:p>
    <w:p>
      <w:pPr>
        <w:pStyle w:val="ListBullet"/>
      </w:pPr>
      <w:r>
        <w:rPr>
          <w:rFonts w:ascii="Calibri" w:hAnsi="Calibri"/>
          <w:b/>
          <w:color w:val="002F6C"/>
          <w:sz w:val="22"/>
        </w:rPr>
        <w:t>Staff-editable rules.</w:t>
      </w:r>
      <w:r>
        <w:rPr>
          <w:rFonts w:ascii="Calibri" w:hAnsi="Calibri"/>
          <w:sz w:val="22"/>
        </w:rPr>
        <w:t xml:space="preserve">  All classification rules live in plain CSV files, so a non-technical analyst can add or retire a rule without touching code.</w:t>
      </w:r>
    </w:p>
    <w:p>
      <w:pPr>
        <w:pBdr>
          <w:bottom w:val="single" w:sz="18" w:space="1" w:color="41B6E6"/>
        </w:pBdr>
        <w:spacing w:before="280" w:after="120"/>
      </w:pPr>
      <w:r>
        <w:rPr>
          <w:rFonts w:ascii="Calibri" w:hAnsi="Calibri"/>
          <w:b/>
          <w:color w:val="002F6C"/>
          <w:sz w:val="32"/>
        </w:rPr>
        <w:t>MY APPROACH — A DEFENSIBLE AI ARCHITECTURE</w:t>
      </w:r>
    </w:p>
    <w:p>
      <w:pPr>
        <w:spacing w:after="120"/>
      </w:pPr>
      <w:r>
        <w:rPr>
          <w:rFonts w:ascii="Calibri" w:hAnsi="Calibri"/>
          <w:sz w:val="22"/>
        </w:rPr>
        <w:t>The defining design choice was how to use AI without sacrificing auditability. AI was used exactly once, at build time, to mine recurring patterns from the long tail of descriptions no hand-written rule covered. Its output was harvested into frozen rules and the model was never called again. The production classifier that does the day-to-day work is 100% deterministic rules — no API key, no internet dependency, no per-classification charge.</w:t>
      </w:r>
    </w:p>
    <w:p>
      <w:pPr>
        <w:pStyle w:val="ListBullet"/>
      </w:pPr>
      <w:r>
        <w:rPr>
          <w:rFonts w:ascii="Calibri" w:hAnsi="Calibri"/>
          <w:b/>
          <w:color w:val="002F6C"/>
          <w:sz w:val="22"/>
        </w:rPr>
        <w:t>MECE category design.</w:t>
      </w:r>
      <w:r>
        <w:rPr>
          <w:rFonts w:ascii="Calibri" w:hAnsi="Calibri"/>
          <w:sz w:val="22"/>
        </w:rPr>
        <w:t xml:space="preserve">  17 mutually exclusive, collectively exhaustive Business Categories built around what the City buys — not how much it spends — so the structure stays stable as budgets move.</w:t>
      </w:r>
    </w:p>
    <w:p>
      <w:pPr>
        <w:pStyle w:val="ListBullet"/>
      </w:pPr>
      <w:r>
        <w:rPr>
          <w:rFonts w:ascii="Calibri" w:hAnsi="Calibri"/>
          <w:b/>
          <w:color w:val="002F6C"/>
          <w:sz w:val="22"/>
        </w:rPr>
        <w:t>Disciplined inputs.</w:t>
      </w:r>
      <w:r>
        <w:rPr>
          <w:rFonts w:ascii="Calibri" w:hAnsi="Calibri"/>
          <w:sz w:val="22"/>
        </w:rPr>
        <w:t xml:space="preserve">  The classifier reads description text plus FMPS account/object/fund codes only. Vendor name and consultant-supplied NIGP codes are deliberately excluded — the classification is independently derived and defensible.</w:t>
      </w:r>
    </w:p>
    <w:p>
      <w:pPr>
        <w:pStyle w:val="ListBullet"/>
      </w:pPr>
      <w:r>
        <w:rPr>
          <w:rFonts w:ascii="Calibri" w:hAnsi="Calibri"/>
          <w:b/>
          <w:color w:val="002F6C"/>
          <w:sz w:val="22"/>
        </w:rPr>
        <w:t>Full audit trail.</w:t>
      </w:r>
      <w:r>
        <w:rPr>
          <w:rFonts w:ascii="Calibri" w:hAnsi="Calibri"/>
          <w:sz w:val="22"/>
        </w:rPr>
        <w:t xml:space="preserve">  Every classified record carries the exact rule that fired, a confidence level, and a machine-readable reason. Any single decision can be reconstructed end-to-end.</w:t>
      </w:r>
    </w:p>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WHY THIS MATTERS</w:t>
            </w:r>
          </w:p>
          <w:p>
            <w:r>
              <w:rPr>
                <w:rFonts w:ascii="Calibri" w:hAnsi="Calibri"/>
                <w:color w:val="002F6C"/>
                <w:sz w:val="22"/>
              </w:rPr>
              <w:t>Most "AI did it" projects can't tell you why a given row was classified the way it was. This one can — for all 784,556 of them. AI bought coverage of the long tail once; deterministic rules keep the running system transparent, cheap, and reviewable.</w:t>
            </w:r>
          </w:p>
        </w:tc>
      </w:tr>
    </w:tbl>
    <w:p>
      <w:pPr>
        <w:spacing w:after="120"/>
      </w:pPr>
    </w:p>
    <w:p>
      <w:pPr>
        <w:pBdr>
          <w:bottom w:val="single" w:sz="18" w:space="1" w:color="41B6E6"/>
        </w:pBdr>
        <w:spacing w:before="280" w:after="120"/>
      </w:pPr>
      <w:r>
        <w:rPr>
          <w:rFonts w:ascii="Calibri" w:hAnsi="Calibri"/>
          <w:b/>
          <w:color w:val="002F6C"/>
          <w:sz w:val="32"/>
        </w:rPr>
        <w:t>THE RESULTS</w:t>
      </w:r>
    </w:p>
    <w:p>
      <w:pPr>
        <w:spacing w:after="120"/>
      </w:pPr>
      <w:r>
        <w:rPr>
          <w:rFonts w:ascii="Calibri" w:hAnsi="Calibri"/>
          <w:sz w:val="22"/>
        </w:rPr>
        <w:t>Run end-to-end against all 784,556 records, the engine maps 100% of rows with zero left in a human-review queue. Coverage breaks down by method as follows: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6236"/>
            <w:shd w:val="clear" w:color="auto" w:fill="002F6C"/>
          </w:tcPr>
          <w:p>
            <w:r>
              <w:rPr>
                <w:rFonts w:ascii="Calibri" w:hAnsi="Calibri"/>
                <w:b/>
                <w:color w:val="FFFFFF"/>
                <w:sz w:val="20"/>
              </w:rPr>
              <w:t>Classification method</w:t>
            </w:r>
          </w:p>
        </w:tc>
        <w:tc>
          <w:tcPr>
            <w:tcW w:type="dxa" w:w="1984"/>
            <w:shd w:val="clear" w:color="auto" w:fill="002F6C"/>
          </w:tcPr>
          <w:p>
            <w:r>
              <w:rPr>
                <w:rFonts w:ascii="Calibri" w:hAnsi="Calibri"/>
                <w:b/>
                <w:color w:val="FFFFFF"/>
                <w:sz w:val="20"/>
              </w:rPr>
              <w:t>Records</w:t>
            </w:r>
          </w:p>
        </w:tc>
        <w:tc>
          <w:tcPr>
            <w:tcW w:type="dxa" w:w="1417"/>
            <w:shd w:val="clear" w:color="auto" w:fill="002F6C"/>
          </w:tcPr>
          <w:p>
            <w:r>
              <w:rPr>
                <w:rFonts w:ascii="Calibri" w:hAnsi="Calibri"/>
                <w:b/>
                <w:color w:val="FFFFFF"/>
                <w:sz w:val="20"/>
              </w:rPr>
              <w:t>Share</w:t>
            </w:r>
          </w:p>
        </w:tc>
      </w:tr>
      <w:tr>
        <w:tc>
          <w:tcPr>
            <w:tcW w:type="dxa" w:w="6236"/>
            <w:shd w:val="clear" w:color="auto" w:fill="D6EEF9"/>
          </w:tcPr>
          <w:p>
            <w:r>
              <w:rPr>
                <w:rFonts w:ascii="Calibri" w:hAnsi="Calibri"/>
                <w:sz w:val="20"/>
              </w:rPr>
              <w:t>Keyword rule (246 hand-curated + 6,766 AI-mined)</w:t>
            </w:r>
          </w:p>
        </w:tc>
        <w:tc>
          <w:tcPr>
            <w:tcW w:type="dxa" w:w="1984"/>
            <w:shd w:val="clear" w:color="auto" w:fill="D6EEF9"/>
          </w:tcPr>
          <w:p>
            <w:r>
              <w:rPr>
                <w:rFonts w:ascii="Calibri" w:hAnsi="Calibri"/>
                <w:sz w:val="20"/>
              </w:rPr>
              <w:t>688,044</w:t>
            </w:r>
          </w:p>
        </w:tc>
        <w:tc>
          <w:tcPr>
            <w:tcW w:type="dxa" w:w="1417"/>
            <w:shd w:val="clear" w:color="auto" w:fill="D6EEF9"/>
          </w:tcPr>
          <w:p>
            <w:r>
              <w:rPr>
                <w:rFonts w:ascii="Calibri" w:hAnsi="Calibri"/>
                <w:sz w:val="20"/>
              </w:rPr>
              <w:t>87.7%</w:t>
            </w:r>
          </w:p>
        </w:tc>
      </w:tr>
      <w:tr>
        <w:tc>
          <w:tcPr>
            <w:tcW w:type="dxa" w:w="6236"/>
          </w:tcPr>
          <w:p>
            <w:r>
              <w:rPr>
                <w:rFonts w:ascii="Calibri" w:hAnsi="Calibri"/>
                <w:sz w:val="20"/>
              </w:rPr>
              <w:t>AI-assist fallback (saved one-time AI output, no runtime API)</w:t>
            </w:r>
          </w:p>
        </w:tc>
        <w:tc>
          <w:tcPr>
            <w:tcW w:type="dxa" w:w="1984"/>
          </w:tcPr>
          <w:p>
            <w:r>
              <w:rPr>
                <w:rFonts w:ascii="Calibri" w:hAnsi="Calibri"/>
                <w:sz w:val="20"/>
              </w:rPr>
              <w:t>93,518</w:t>
            </w:r>
          </w:p>
        </w:tc>
        <w:tc>
          <w:tcPr>
            <w:tcW w:type="dxa" w:w="1417"/>
          </w:tcPr>
          <w:p>
            <w:r>
              <w:rPr>
                <w:rFonts w:ascii="Calibri" w:hAnsi="Calibri"/>
                <w:sz w:val="20"/>
              </w:rPr>
              <w:t>11.9%</w:t>
            </w:r>
          </w:p>
        </w:tc>
      </w:tr>
      <w:tr>
        <w:tc>
          <w:tcPr>
            <w:tcW w:type="dxa" w:w="6236"/>
            <w:shd w:val="clear" w:color="auto" w:fill="D6EEF9"/>
          </w:tcPr>
          <w:p>
            <w:r>
              <w:rPr>
                <w:rFonts w:ascii="Calibri" w:hAnsi="Calibri"/>
                <w:sz w:val="20"/>
              </w:rPr>
              <w:t>Account-code pattern (subgrant / pass-through disbursements)</w:t>
            </w:r>
          </w:p>
        </w:tc>
        <w:tc>
          <w:tcPr>
            <w:tcW w:type="dxa" w:w="1984"/>
            <w:shd w:val="clear" w:color="auto" w:fill="D6EEF9"/>
          </w:tcPr>
          <w:p>
            <w:r>
              <w:rPr>
                <w:rFonts w:ascii="Calibri" w:hAnsi="Calibri"/>
                <w:sz w:val="20"/>
              </w:rPr>
              <w:t>2,028</w:t>
            </w:r>
          </w:p>
        </w:tc>
        <w:tc>
          <w:tcPr>
            <w:tcW w:type="dxa" w:w="1417"/>
            <w:shd w:val="clear" w:color="auto" w:fill="D6EEF9"/>
          </w:tcPr>
          <w:p>
            <w:r>
              <w:rPr>
                <w:rFonts w:ascii="Calibri" w:hAnsi="Calibri"/>
                <w:sz w:val="20"/>
              </w:rPr>
              <w:t>0.3%</w:t>
            </w:r>
          </w:p>
        </w:tc>
      </w:tr>
      <w:tr>
        <w:tc>
          <w:tcPr>
            <w:tcW w:type="dxa" w:w="6236"/>
          </w:tcPr>
          <w:p>
            <w:r>
              <w:rPr>
                <w:rFonts w:ascii="Calibri" w:hAnsi="Calibri"/>
                <w:sz w:val="20"/>
              </w:rPr>
              <w:t>Unclassified — no usable description (explicitly tagged)</w:t>
            </w:r>
          </w:p>
        </w:tc>
        <w:tc>
          <w:tcPr>
            <w:tcW w:type="dxa" w:w="1984"/>
          </w:tcPr>
          <w:p>
            <w:r>
              <w:rPr>
                <w:rFonts w:ascii="Calibri" w:hAnsi="Calibri"/>
                <w:sz w:val="20"/>
              </w:rPr>
              <w:t>966</w:t>
            </w:r>
          </w:p>
        </w:tc>
        <w:tc>
          <w:tcPr>
            <w:tcW w:type="dxa" w:w="1417"/>
          </w:tcPr>
          <w:p>
            <w:r>
              <w:rPr>
                <w:rFonts w:ascii="Calibri" w:hAnsi="Calibri"/>
                <w:sz w:val="20"/>
              </w:rPr>
              <w:t>0.1%</w:t>
            </w:r>
          </w:p>
        </w:tc>
      </w:tr>
      <w:tr>
        <w:tc>
          <w:tcPr>
            <w:tcW w:type="dxa" w:w="6236"/>
            <w:shd w:val="clear" w:color="auto" w:fill="D6EEF9"/>
          </w:tcPr>
          <w:p>
            <w:r>
              <w:rPr>
                <w:rFonts w:ascii="Calibri" w:hAnsi="Calibri"/>
                <w:b/>
                <w:sz w:val="20"/>
              </w:rPr>
              <w:t>TOTAL — every record mapped</w:t>
            </w:r>
          </w:p>
        </w:tc>
        <w:tc>
          <w:tcPr>
            <w:tcW w:type="dxa" w:w="1984"/>
            <w:shd w:val="clear" w:color="auto" w:fill="D6EEF9"/>
          </w:tcPr>
          <w:p>
            <w:r>
              <w:rPr>
                <w:rFonts w:ascii="Calibri" w:hAnsi="Calibri"/>
                <w:b/>
                <w:sz w:val="20"/>
              </w:rPr>
              <w:t>784,556</w:t>
            </w:r>
          </w:p>
        </w:tc>
        <w:tc>
          <w:tcPr>
            <w:tcW w:type="dxa" w:w="1417"/>
            <w:shd w:val="clear" w:color="auto" w:fill="D6EEF9"/>
          </w:tcPr>
          <w:p>
            <w:r>
              <w:rPr>
                <w:rFonts w:ascii="Calibri" w:hAnsi="Calibri"/>
                <w:b/>
                <w:sz w:val="20"/>
              </w:rPr>
              <w:t>100%</w:t>
            </w:r>
          </w:p>
        </w:tc>
      </w:tr>
    </w:tbl>
    <w:p>
      <w:pPr>
        <w:spacing w:after="40"/>
      </w:pPr>
    </w:p>
    <w:p>
      <w:pPr>
        <w:pBdr>
          <w:bottom w:val="single" w:sz="18" w:space="1" w:color="41B6E6"/>
        </w:pBdr>
        <w:spacing w:before="280" w:after="120"/>
      </w:pPr>
      <w:r>
        <w:rPr>
          <w:rFonts w:ascii="Calibri" w:hAnsi="Calibri"/>
          <w:b/>
          <w:color w:val="002F6C"/>
          <w:sz w:val="32"/>
        </w:rPr>
        <w:t>HOW THIS TRANSFERS TO CONTRACT ADMINISTRATION &amp; SUPPLY CHAIN</w:t>
      </w:r>
    </w:p>
    <w:p>
      <w:pPr>
        <w:spacing w:after="120"/>
      </w:pPr>
      <w:r>
        <w:rPr>
          <w:rFonts w:ascii="Calibri" w:hAnsi="Calibri"/>
          <w:sz w:val="22"/>
        </w:rPr>
        <w:t>The taxonomy and the classification method are not single-use. They are reusable infrastructure for the functions I am moving into — and the same engine can be re-pointed at a contract portfolio or a new spend extract without re-running AI or engaging a consultant.</w:t>
      </w:r>
    </w:p>
    <w:p>
      <w:pPr>
        <w:spacing w:before="200" w:after="40"/>
      </w:pPr>
      <w:r>
        <w:rPr>
          <w:rFonts w:ascii="Calibri" w:hAnsi="Calibri"/>
          <w:b/>
          <w:color w:val="41B6E6"/>
          <w:sz w:val="26"/>
        </w:rPr>
        <w:t>In contract administration</w:t>
      </w:r>
    </w:p>
    <w:p>
      <w:pPr>
        <w:pStyle w:val="ListBullet"/>
      </w:pPr>
      <w:r>
        <w:rPr>
          <w:rFonts w:ascii="Calibri" w:hAnsi="Calibri"/>
          <w:b/>
          <w:color w:val="002F6C"/>
          <w:sz w:val="22"/>
        </w:rPr>
        <w:t>Commodity-code the contract portfolio.</w:t>
      </w:r>
      <w:r>
        <w:rPr>
          <w:rFonts w:ascii="Calibri" w:hAnsi="Calibri"/>
          <w:sz w:val="22"/>
        </w:rPr>
        <w:t xml:space="preserve">  Apply the same 17-category → NIGP-class structure to active contracts so every contract carries a defensible commodity classification.</w:t>
      </w:r>
    </w:p>
    <w:p>
      <w:pPr>
        <w:pStyle w:val="ListBullet"/>
      </w:pPr>
      <w:r>
        <w:rPr>
          <w:rFonts w:ascii="Calibri" w:hAnsi="Calibri"/>
          <w:b/>
          <w:color w:val="002F6C"/>
          <w:sz w:val="22"/>
        </w:rPr>
        <w:t>Detect overlap and consolidation opportunities.</w:t>
      </w:r>
      <w:r>
        <w:rPr>
          <w:rFonts w:ascii="Calibri" w:hAnsi="Calibri"/>
          <w:sz w:val="22"/>
        </w:rPr>
        <w:t xml:space="preserve">  Surface where the same commodity is bought under multiple contracts and vendors — the candidates for consolidation, bundling, or cooperative purchasing.</w:t>
      </w:r>
    </w:p>
    <w:p>
      <w:pPr>
        <w:pStyle w:val="ListBullet"/>
      </w:pPr>
      <w:r>
        <w:rPr>
          <w:rFonts w:ascii="Calibri" w:hAnsi="Calibri"/>
          <w:b/>
          <w:color w:val="002F6C"/>
          <w:sz w:val="22"/>
        </w:rPr>
        <w:t>Audit-ready contract records.</w:t>
      </w:r>
      <w:r>
        <w:rPr>
          <w:rFonts w:ascii="Calibri" w:hAnsi="Calibri"/>
          <w:sz w:val="22"/>
        </w:rPr>
        <w:t xml:space="preserve">  The per-record audit trail — rule that fired, confidence, reason — is the same evidence model a clean contract file needs for review and compliance.</w:t>
      </w:r>
    </w:p>
    <w:p>
      <w:pPr>
        <w:pStyle w:val="ListBullet"/>
      </w:pPr>
      <w:r>
        <w:rPr>
          <w:rFonts w:ascii="Calibri" w:hAnsi="Calibri"/>
          <w:b/>
          <w:color w:val="002F6C"/>
          <w:sz w:val="22"/>
        </w:rPr>
        <w:t>Renewal and category planning.</w:t>
      </w:r>
      <w:r>
        <w:rPr>
          <w:rFonts w:ascii="Calibri" w:hAnsi="Calibri"/>
          <w:sz w:val="22"/>
        </w:rPr>
        <w:t xml:space="preserve">  Group contracts by commodity class to plan sourcing waves and avoid fragmented, one-off renewals.</w:t>
      </w:r>
    </w:p>
    <w:p>
      <w:pPr>
        <w:spacing w:before="200" w:after="40"/>
      </w:pPr>
      <w:r>
        <w:rPr>
          <w:rFonts w:ascii="Calibri" w:hAnsi="Calibri"/>
          <w:b/>
          <w:color w:val="41B6E6"/>
          <w:sz w:val="26"/>
        </w:rPr>
        <w:t>In supply chain &amp; category management</w:t>
      </w:r>
    </w:p>
    <w:p>
      <w:pPr>
        <w:pStyle w:val="ListBullet"/>
      </w:pPr>
      <w:r>
        <w:rPr>
          <w:rFonts w:ascii="Calibri" w:hAnsi="Calibri"/>
          <w:b/>
          <w:color w:val="002F6C"/>
          <w:sz w:val="22"/>
        </w:rPr>
        <w:t>Category management foundation.</w:t>
      </w:r>
      <w:r>
        <w:rPr>
          <w:rFonts w:ascii="Calibri" w:hAnsi="Calibri"/>
          <w:sz w:val="22"/>
        </w:rPr>
        <w:t xml:space="preserve">  A commodity taxonomy is the backbone of category management — spend visibility by commodity is the prerequisite for any strategic sourcing program.</w:t>
      </w:r>
    </w:p>
    <w:p>
      <w:pPr>
        <w:pStyle w:val="ListBullet"/>
      </w:pPr>
      <w:r>
        <w:rPr>
          <w:rFonts w:ascii="Calibri" w:hAnsi="Calibri"/>
          <w:b/>
          <w:color w:val="002F6C"/>
          <w:sz w:val="22"/>
        </w:rPr>
        <w:t>Demand aggregation.</w:t>
      </w:r>
      <w:r>
        <w:rPr>
          <w:rFonts w:ascii="Calibri" w:hAnsi="Calibri"/>
          <w:sz w:val="22"/>
        </w:rPr>
        <w:t xml:space="preserve">  Identify the same commodity bought across departments, aggregate the volume, and leverage scale.</w:t>
      </w:r>
    </w:p>
    <w:p>
      <w:pPr>
        <w:pStyle w:val="ListBullet"/>
      </w:pPr>
      <w:r>
        <w:rPr>
          <w:rFonts w:ascii="Calibri" w:hAnsi="Calibri"/>
          <w:b/>
          <w:color w:val="002F6C"/>
          <w:sz w:val="22"/>
        </w:rPr>
        <w:t>Supplier rationalization.</w:t>
      </w:r>
      <w:r>
        <w:rPr>
          <w:rFonts w:ascii="Calibri" w:hAnsi="Calibri"/>
          <w:sz w:val="22"/>
        </w:rPr>
        <w:t xml:space="preserve">  A commodity-level view of who supplies what supports supplier rationalization and reduces fragmented tail spend.</w:t>
      </w:r>
    </w:p>
    <w:p>
      <w:pPr>
        <w:pStyle w:val="ListBullet"/>
      </w:pPr>
      <w:r>
        <w:rPr>
          <w:rFonts w:ascii="Calibri" w:hAnsi="Calibri"/>
          <w:b/>
          <w:color w:val="002F6C"/>
          <w:sz w:val="22"/>
        </w:rPr>
        <w:t>Repeatable method.</w:t>
      </w:r>
      <w:r>
        <w:rPr>
          <w:rFonts w:ascii="Calibri" w:hAnsi="Calibri"/>
          <w:sz w:val="22"/>
        </w:rPr>
        <w:t xml:space="preserve">  The rules-engine + one-time-AI method re-points at any new spend or contract dataset — a repeatable capability, not a one-time deliverable.</w:t>
      </w:r>
    </w:p>
    <w:p>
      <w:pPr>
        <w:pBdr>
          <w:bottom w:val="single" w:sz="18" w:space="1" w:color="41B6E6"/>
        </w:pBdr>
        <w:spacing w:before="280" w:after="120"/>
      </w:pPr>
      <w:r>
        <w:rPr>
          <w:rFonts w:ascii="Calibri" w:hAnsi="Calibri"/>
          <w:b/>
          <w:color w:val="002F6C"/>
          <w:sz w:val="32"/>
        </w:rPr>
        <w:t>CAPABILITIES THIS PROJECT ADDS TO MY PROFESSIONAL TOOLBOX</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00"/>
        <w:gridCol w:w="5100"/>
      </w:tblGrid>
      <w:tr>
        <w:tc>
          <w:tcPr>
            <w:tcW w:type="dxa" w:w="2551"/>
            <w:shd w:val="clear" w:color="auto" w:fill="002F6C"/>
          </w:tcPr>
          <w:p>
            <w:r>
              <w:rPr>
                <w:rFonts w:ascii="Calibri" w:hAnsi="Calibri"/>
                <w:b/>
                <w:color w:val="FFFFFF"/>
                <w:sz w:val="20"/>
              </w:rPr>
              <w:t>Dimension</w:t>
            </w:r>
          </w:p>
        </w:tc>
        <w:tc>
          <w:tcPr>
            <w:tcW w:type="dxa" w:w="7087"/>
            <w:shd w:val="clear" w:color="auto" w:fill="002F6C"/>
          </w:tcPr>
          <w:p>
            <w:r>
              <w:rPr>
                <w:rFonts w:ascii="Calibri" w:hAnsi="Calibri"/>
                <w:b/>
                <w:color w:val="FFFFFF"/>
                <w:sz w:val="20"/>
              </w:rPr>
              <w:t>What this project demonstrates</w:t>
            </w:r>
          </w:p>
        </w:tc>
      </w:tr>
      <w:tr>
        <w:tc>
          <w:tcPr>
            <w:tcW w:type="dxa" w:w="2551"/>
            <w:shd w:val="clear" w:color="auto" w:fill="D6EEF9"/>
          </w:tcPr>
          <w:p>
            <w:r>
              <w:rPr>
                <w:rFonts w:ascii="Calibri" w:hAnsi="Calibri"/>
                <w:b/>
                <w:sz w:val="20"/>
              </w:rPr>
              <w:t>Procurement domain</w:t>
            </w:r>
          </w:p>
        </w:tc>
        <w:tc>
          <w:tcPr>
            <w:tcW w:type="dxa" w:w="7087"/>
            <w:shd w:val="clear" w:color="auto" w:fill="D6EEF9"/>
          </w:tcPr>
          <w:p>
            <w:r>
              <w:rPr>
                <w:rFonts w:ascii="Calibri" w:hAnsi="Calibri"/>
                <w:sz w:val="20"/>
              </w:rPr>
              <w:t>NIGP commodity-code alignment; a 17-category MECE spend taxonomy; category management; identification of subgrant / pass-through disbursements vs. commodity buys; audit-defensible classification.</w:t>
            </w:r>
          </w:p>
        </w:tc>
      </w:tr>
      <w:tr>
        <w:tc>
          <w:tcPr>
            <w:tcW w:type="dxa" w:w="2551"/>
          </w:tcPr>
          <w:p>
            <w:r>
              <w:rPr>
                <w:rFonts w:ascii="Calibri" w:hAnsi="Calibri"/>
                <w:b/>
                <w:sz w:val="20"/>
              </w:rPr>
              <w:t>Data &amp; AI engineering</w:t>
            </w:r>
          </w:p>
        </w:tc>
        <w:tc>
          <w:tcPr>
            <w:tcW w:type="dxa" w:w="7087"/>
          </w:tcPr>
          <w:p>
            <w:r>
              <w:rPr>
                <w:rFonts w:ascii="Calibri" w:hAnsi="Calibri"/>
                <w:sz w:val="20"/>
              </w:rPr>
              <w:t>Python and pandas at 784K-row scale; LLM-assisted pattern mining (Anthropic Claude); JSON-schema-bounded prompts with closed enumerations; a deterministic, three-tier rules-engine classification pipeline.</w:t>
            </w:r>
          </w:p>
        </w:tc>
      </w:tr>
      <w:tr>
        <w:tc>
          <w:tcPr>
            <w:tcW w:type="dxa" w:w="2551"/>
            <w:shd w:val="clear" w:color="auto" w:fill="D6EEF9"/>
          </w:tcPr>
          <w:p>
            <w:r>
              <w:rPr>
                <w:rFonts w:ascii="Calibri" w:hAnsi="Calibri"/>
                <w:b/>
                <w:sz w:val="20"/>
              </w:rPr>
              <w:t>Product &amp; delivery</w:t>
            </w:r>
          </w:p>
        </w:tc>
        <w:tc>
          <w:tcPr>
            <w:tcW w:type="dxa" w:w="7087"/>
            <w:shd w:val="clear" w:color="auto" w:fill="D6EEF9"/>
          </w:tcPr>
          <w:p>
            <w:r>
              <w:rPr>
                <w:rFonts w:ascii="Calibri" w:hAnsi="Calibri"/>
                <w:sz w:val="20"/>
              </w:rPr>
              <w:t>A deployed Streamlit web application; externalized CSV rule files maintainable by non-technical staff; leadership-ready Word / Excel deliverables; a full methodology document and per-record audit trail.</w:t>
            </w:r>
          </w:p>
        </w:tc>
      </w:tr>
      <w:tr>
        <w:tc>
          <w:tcPr>
            <w:tcW w:type="dxa" w:w="2551"/>
          </w:tcPr>
          <w:p>
            <w:r>
              <w:rPr>
                <w:rFonts w:ascii="Calibri" w:hAnsi="Calibri"/>
                <w:b/>
                <w:sz w:val="20"/>
              </w:rPr>
              <w:t>Judgment &amp; governance</w:t>
            </w:r>
          </w:p>
        </w:tc>
        <w:tc>
          <w:tcPr>
            <w:tcW w:type="dxa" w:w="7087"/>
          </w:tcPr>
          <w:p>
            <w:r>
              <w:rPr>
                <w:rFonts w:ascii="Calibri" w:hAnsi="Calibri"/>
                <w:sz w:val="20"/>
              </w:rPr>
              <w:t>One-time AI cost held to ~$27; a rules-only, fully auditable production runtime with no black-box dependency; provenance metadata on every classification decision.</w:t>
            </w:r>
          </w:p>
        </w:tc>
      </w:tr>
    </w:tbl>
    <w:p>
      <w:pPr>
        <w:spacing w:after="40"/>
      </w:pPr>
    </w:p>
    <w:p>
      <w:pPr>
        <w:pBdr>
          <w:bottom w:val="single" w:sz="18" w:space="1" w:color="41B6E6"/>
        </w:pBdr>
        <w:spacing w:before="280" w:after="120"/>
      </w:pPr>
      <w:r>
        <w:rPr>
          <w:rFonts w:ascii="Calibri" w:hAnsi="Calibri"/>
          <w:b/>
          <w:color w:val="002F6C"/>
          <w:sz w:val="32"/>
        </w:rPr>
        <w:t>SEE IT / EXPLORE THE WORK</w:t>
      </w:r>
    </w:p>
    <w:p>
      <w:pPr>
        <w:pStyle w:val="ListBullet"/>
      </w:pPr>
      <w:r>
        <w:rPr>
          <w:rFonts w:ascii="Calibri" w:hAnsi="Calibri"/>
          <w:b/>
          <w:color w:val="002F6C"/>
          <w:sz w:val="22"/>
        </w:rPr>
        <w:t>Live tool:</w:t>
      </w:r>
      <w:r>
        <w:rPr>
          <w:rFonts w:ascii="Calibri" w:hAnsi="Calibri"/>
          <w:sz w:val="22"/>
        </w:rPr>
        <w:t xml:space="preserve">  https://chicago-nigp-classifier.streamlit.app/ (password-gated).</w:t>
      </w:r>
    </w:p>
    <w:p>
      <w:pPr>
        <w:pStyle w:val="ListBullet"/>
      </w:pPr>
      <w:r>
        <w:rPr>
          <w:rFonts w:ascii="Calibri" w:hAnsi="Calibri"/>
          <w:b/>
          <w:color w:val="002F6C"/>
          <w:sz w:val="22"/>
        </w:rPr>
        <w:t>Source:</w:t>
      </w:r>
      <w:r>
        <w:rPr>
          <w:rFonts w:ascii="Calibri" w:hAnsi="Calibri"/>
          <w:sz w:val="22"/>
        </w:rPr>
        <w:t xml:space="preserve">  https://github.com/jhkirby2001-collab/Procurement-ai-tools (code, rule files, and methodology).</w:t>
      </w:r>
    </w:p>
    <w:p/>
    <w:p>
      <w:pPr>
        <w:jc w:val="center"/>
      </w:pPr>
      <w:r>
        <w:rPr>
          <w:i/>
          <w:color w:val="595959"/>
          <w:sz w:val="18"/>
        </w:rPr>
        <w:t>James H. Kirby III, CSCP, MS-SCM  —  City of Chicago, Department of Procurement Services.  Built with Python, pandas, the Anthropic Claude API (one-time), and Streamlit.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