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Prepared by: James H. Kirby III, Procurement Research Analyst</w:t>
      </w:r>
      <w:r>
        <w:t xml:space="preserve"> </w:t>
      </w:r>
      <w:r>
        <w:t xml:space="preserve">Department of Procurement Services — Strategic Business Operation (SBO) Unit</w:t>
      </w:r>
      <w:r>
        <w:t xml:space="preserve"> </w:t>
      </w:r>
      <w:r>
        <w:t xml:space="preserve">Date: 04/22/2026</w:t>
      </w:r>
    </w:p>
    <w:p>
      <w:r>
        <w:pict>
          <v:rect style="width:0;height:1.5pt" o:hralign="center" o:hrstd="t" o:hr="t"/>
        </w:pict>
      </w:r>
    </w:p>
    <w:p>
      <w:pPr>
        <w:pStyle w:val="FirstParagraph"/>
      </w:pPr>
      <w:r>
        <w:rPr>
          <w:bCs/>
          <w:b/>
        </w:rPr>
        <w:t xml:space="preserve">MARKET RESEARCH REPORT</w:t>
      </w:r>
    </w:p>
    <w:p>
      <w:pPr>
        <w:pStyle w:val="BodyText"/>
      </w:pPr>
      <w:r>
        <w:t xml:space="preserve">Emergency Generator Maintenance Services</w:t>
      </w:r>
    </w:p>
    <w:p>
      <w:pPr>
        <w:pStyle w:val="BodyText"/>
      </w:pPr>
      <w:r>
        <w:rPr>
          <w:iCs/>
          <w:i/>
        </w:rPr>
        <w:t xml:space="preserve">City of Chicago Department of Procurement Services</w:t>
      </w:r>
    </w:p>
    <w:p>
      <w:pPr>
        <w:pStyle w:val="BodyText"/>
      </w:pPr>
      <w:r>
        <w:rPr>
          <w:iCs/>
          <w:i/>
        </w:rPr>
        <w:t xml:space="preserve">Prepared: April 22, 2026</w:t>
      </w:r>
    </w:p>
    <w:p>
      <w:r>
        <w:pict>
          <v:rect style="width:0;height:1.5pt" o:hralign="center" o:hrstd="t" o:hr="t"/>
        </w:pict>
      </w:r>
    </w:p>
    <w:p>
      <w:pPr>
        <w:pStyle w:val="BlockText"/>
      </w:pPr>
      <w:r>
        <w:rPr>
          <w:bCs/>
          <w:b/>
        </w:rPr>
        <w:t xml:space="preserve">Research Reference Note / Limitation:</w:t>
      </w:r>
      <w:r>
        <w:t xml:space="preserve"> </w:t>
      </w:r>
      <w:r>
        <w:t xml:space="preserve">The agent’s standard deployment template (</w:t>
      </w:r>
      <w:r>
        <w:rPr>
          <w:rStyle w:val="VerbatimChar"/>
        </w:rPr>
        <w:t xml:space="preserve">./reference/Sole_Source_Procurement_Best_Practices_Research_Report.docx</w:t>
      </w:r>
      <w:r>
        <w:t xml:space="preserve">), the methodology reference (</w:t>
      </w:r>
      <w:r>
        <w:rPr>
          <w:rStyle w:val="VerbatimChar"/>
        </w:rPr>
        <w:t xml:space="preserve">./reference/SBO_How_Detailed_phase_1-7.docx</w:t>
      </w:r>
      <w:r>
        <w:t xml:space="preserve">), and the regulatory code file (</w:t>
      </w:r>
      <w:r>
        <w:rPr>
          <w:rStyle w:val="VerbatimChar"/>
        </w:rPr>
        <w:t xml:space="preserve">./reference/municipal_code.docx</w:t>
      </w:r>
      <w:r>
        <w:t xml:space="preserve">) were not present in this workspace at the time of research. The report therefore reproduces the approved Market Research Report structure from the agent’s standing methodology, and the Chicago Municipal Code compliance analysis is sourced directly from the public American Legal Publishing code library (codelibrary.amlegal.com) and the City of Chicago Department of Procurement Services published guidance. Specific code section citations have been verified against those public sources. Internal Chicago DPS contract-file evidence was not available to the agent and should be reconciled by DPS staff before solicitation issuance.</w:t>
      </w:r>
    </w:p>
    <w:p>
      <w:r>
        <w:pict>
          <v:rect style="width:0;height:1.5pt" o:hralign="center" o:hrstd="t" o:hr="t"/>
        </w:pict>
      </w:r>
    </w:p>
    <w:bookmarkStart w:id="22" w:name="section-1-executive-summary"/>
    <w:p>
      <w:pPr>
        <w:pStyle w:val="Heading1"/>
      </w:pPr>
      <w:r>
        <w:t xml:space="preserve">SECTION 1: EXECUTIVE SUMMARY</w:t>
      </w:r>
    </w:p>
    <w:p>
      <w:pPr>
        <w:pStyle w:val="FirstParagraph"/>
      </w:pPr>
      <w:r>
        <w:rPr>
          <w:bCs/>
          <w:b/>
        </w:rPr>
        <w:t xml:space="preserve">Bottom Line Up Front.</w:t>
      </w:r>
      <w:r>
        <w:t xml:space="preserve"> </w:t>
      </w:r>
      <w:r>
        <w:t xml:space="preserve">The City of Chicago requires a durable, multi-year vehicle for the preventive maintenance, testing, repair, and 24/7 emergency response of its fleet of emergency and standby diesel and natural-gas generators located across municipal facilities — fire houses, police stations, 911/311 centers, water and wastewater pumping stations, traffic management facilities, shelters, and critical administrative buildings. Emergency generators are life-safety assets regulated by the National Fire Protection Association (NFPA) Standard 110 (Emergency and Standby Power Systems), NFPA 37 (Stationary Combustion Engines and Gas Turbines), NFPA 99 (where healthcare-adjacent), and NFPA 70 / the Chicago Electrical Code (Title 14E), and subject to federal and state air-quality regulation under the U.S. Environmental Protection Agency (EPA) New Source Performance Standards (NSPS) for Reciprocating Internal Combustion Engines (RICE), the National Emission Standards for Hazardous Air Pollutants (NESHAP / RICE MACT), and Illinois Environmental Protection Agency (IEPA) air permitting under 35 Illinois Administrative Code Part 217.</w:t>
      </w:r>
    </w:p>
    <w:p>
      <w:pPr>
        <w:pStyle w:val="BodyText"/>
      </w:pPr>
      <w:r>
        <w:t xml:space="preserve">The market for qualified generator maintenance providers in the Chicago metropolitan area is a well-developed, moderately concentrated, multi-tier market. It is dominated by a small number of Original Equipment Manufacturer (OEM) authorized dealers — Altorfer Cat (Caterpillar, Northern and Central Illinois), Cummins Sales and Service (Illinois/Indiana region), Patten Industries (Cat, now consolidated under Altorfer in Northern Illinois), MPower (authorized Kohler and Generac), and Trusted Power Systems (multi-brand authorized service for Cummins, Kohler, Generac, Briggs &amp; Stratton) — supplemented by independent service firms (Affiliated Customer Service Inc., Penco Electrical Contractor, Four Seasons Electric, NorthShore Power Electric) and national cooperative-contract holders reachable through Sourcewell, OMNIA Partners, and the Suburban Purchasing Cooperative.</w:t>
      </w:r>
    </w:p>
    <w:p>
      <w:pPr>
        <w:pStyle w:val="BodyText"/>
      </w:pPr>
      <w:r>
        <w:t xml:space="preserve">The recommended procurement method is a</w:t>
      </w:r>
      <w:r>
        <w:t xml:space="preserve"> </w:t>
      </w:r>
      <w:r>
        <w:rPr>
          <w:bCs/>
          <w:b/>
        </w:rPr>
        <w:t xml:space="preserve">Request for Proposals (RFP)</w:t>
      </w:r>
      <w:r>
        <w:t xml:space="preserve"> </w:t>
      </w:r>
      <w:r>
        <w:t xml:space="preserve">to establish a multi-year, multi-vendor Master Consultant / Term Services Agreement structured in brand-based or geographic lots, awarded on a best-value basis. This approach is explicitly authorized under Chicago Municipal Code (MCC) Chapter 2-92 and supports the 26% Minority Business Enterprise (MBE) and 6% Women Business Enterprise (WBE) participation goals established under MCC § 2-92-420 et seq. Where immediate continuity-of-service risk exists on a specific OEM fleet before a new RFP is awarded, a cooperative piggyback under Sourcewell Contract No. 092222-CAT (Caterpillar / Carolina Cat — Electrical Energy Power Generation Equipment) or Sourcewell Contract No. 120617-CMM (Cummins) is a defensible bridge that satisfies MCC § 2-92-600 (Joint Procurement).</w:t>
      </w:r>
    </w:p>
    <w:bookmarkStart w:id="20" w:name="key-findings"/>
    <w:p>
      <w:pPr>
        <w:pStyle w:val="Heading2"/>
      </w:pPr>
      <w:r>
        <w:t xml:space="preserve">Key Findings</w:t>
      </w:r>
    </w:p>
    <w:p>
      <w:pPr>
        <w:numPr>
          <w:ilvl w:val="0"/>
          <w:numId w:val="1001"/>
        </w:numPr>
        <w:pStyle w:val="Compact"/>
      </w:pPr>
      <w:r>
        <w:rPr>
          <w:bCs/>
          <w:b/>
        </w:rPr>
        <w:t xml:space="preserve">Scope Validation:</w:t>
      </w:r>
      <w:r>
        <w:t xml:space="preserve"> </w:t>
      </w:r>
      <w:r>
        <w:t xml:space="preserve">The service scope spans seven distinct functional areas — preventive maintenance (PM) visits, annual load bank testing, fuel system service including fuel polishing and ASTM D975 laboratory fuel testing, emissions testing and RICE NESHAP recordkeeping, 24/7 emergency repair response, parts and warranty support, and automatic transfer switch (ATS) maintenance — and must cover mixed OEM fleets (Caterpillar, Cummins, Kohler, Generac, Detroit Diesel, MTU, Onan).</w:t>
      </w:r>
    </w:p>
    <w:p>
      <w:pPr>
        <w:numPr>
          <w:ilvl w:val="0"/>
          <w:numId w:val="1001"/>
        </w:numPr>
        <w:pStyle w:val="Compact"/>
      </w:pPr>
      <w:r>
        <w:rPr>
          <w:bCs/>
          <w:b/>
        </w:rPr>
        <w:t xml:space="preserve">Regulatory Framework:</w:t>
      </w:r>
      <w:r>
        <w:t xml:space="preserve"> </w:t>
      </w:r>
      <w:r>
        <w:t xml:space="preserve">NFPA 110 Chapter 8 governs the maintenance program (weekly inspection, monthly ≥30-minute load-level exercise at ≥30% of nameplate, annual 4-hour load bank test every 36 months for Level 1 systems, annual ATS major maintenance plus three quarterly inspections); NFPA 37 governs fire-safety installation conditions; EPA RICE NSPS (40 CFR Part 60 Subparts IIII/JJJJ) and RICE NESHAP (40 CFR Part 63 Subpart ZZZZ) govern emissions and recordkeeping; and IEPA requires air construction and operating permits under 35 Ill. Adm. Code Part 217 with a Registration of Smaller Sources (ROSS) pathway for engines under 1,118 kW. The Chicago Electrical Code (MCC Title 14E, Section 14E-7-700 — Emergency Systems) requires listing under UL 2200 and sets inspection requirements, and the Chicago Building Code requires an annual full-load test witnessed by a City of Chicago Electrical Bureau Inspector.</w:t>
      </w:r>
    </w:p>
    <w:p>
      <w:pPr>
        <w:numPr>
          <w:ilvl w:val="0"/>
          <w:numId w:val="1001"/>
        </w:numPr>
        <w:pStyle w:val="Compact"/>
      </w:pPr>
      <w:r>
        <w:rPr>
          <w:bCs/>
          <w:b/>
        </w:rPr>
        <w:t xml:space="preserve">Market Structure:</w:t>
      </w:r>
      <w:r>
        <w:t xml:space="preserve"> </w:t>
      </w:r>
      <w:r>
        <w:t xml:space="preserve">The market is OEM-authorized-dealer-led with meaningful independent and specialty competition. Caterpillar coverage in Chicago is held by Altorfer Cat (which now encompasses the former Patten Industries footprint in Northern Illinois); Cummins coverage is provided directly by Cummins Sales and Service; Kohler and Generac coverage is provided by MPower, Trusted Power Systems, and regional independents. Fuel polishing and ASTM fuel testing are a secondary but distinct market tier (Earthsafe, Precision Filtration, Dieselcraft, CommTank, Iowa Central Fuel Testing Laboratory).</w:t>
      </w:r>
    </w:p>
    <w:p>
      <w:pPr>
        <w:numPr>
          <w:ilvl w:val="0"/>
          <w:numId w:val="1001"/>
        </w:numPr>
        <w:pStyle w:val="Compact"/>
      </w:pPr>
      <w:r>
        <w:rPr>
          <w:bCs/>
          <w:b/>
        </w:rPr>
        <w:t xml:space="preserve">Peer Benchmark:</w:t>
      </w:r>
      <w:r>
        <w:t xml:space="preserve"> </w:t>
      </w:r>
      <w:r>
        <w:t xml:space="preserve">New York City Department of Citywide Administrative Services (DCAS) maintains a multi-year citywide requirements contract for complete service, inspection, and testing of generator sets and related equipment across all five boroughs, with both scheduled and emergency work. Chicago Housing Authority (CHA) contracts separately for approximately 80 elevator-backup generators under a dedicated RFP with an annual witnessed full-load test requirement. Los Angeles County and the State of Illinois follow similar annual/semi-annual/quarterly tiered inspection models aligned to NFPA 110 and NFPA 111.</w:t>
      </w:r>
    </w:p>
    <w:p>
      <w:pPr>
        <w:numPr>
          <w:ilvl w:val="0"/>
          <w:numId w:val="1001"/>
        </w:numPr>
        <w:pStyle w:val="Compact"/>
      </w:pPr>
      <w:r>
        <w:rPr>
          <w:bCs/>
          <w:b/>
        </w:rPr>
        <w:t xml:space="preserve">Vendor Pool Identified:</w:t>
      </w:r>
      <w:r>
        <w:t xml:space="preserve"> </w:t>
      </w:r>
      <w:r>
        <w:t xml:space="preserve">A qualified vendor pool of 12 firms has been identified spanning OEM-authorized dealers, multi-brand authorized service firms, independent specialty providers, and fuel-system specialists (detailed in Section 4). All must be verified for current certifications and diversity status before solicitation.</w:t>
      </w:r>
    </w:p>
    <w:p>
      <w:pPr>
        <w:numPr>
          <w:ilvl w:val="0"/>
          <w:numId w:val="1001"/>
        </w:numPr>
        <w:pStyle w:val="Compact"/>
      </w:pPr>
      <w:r>
        <w:rPr>
          <w:bCs/>
          <w:b/>
        </w:rPr>
        <w:t xml:space="preserve">Diversity Opportunity:</w:t>
      </w:r>
      <w:r>
        <w:t xml:space="preserve"> </w:t>
      </w:r>
      <w:r>
        <w:t xml:space="preserve">The M/WBE opportunity is strongest in the sub-contracted tiers of the scope — fuel polishing and ASTM fuel testing, ATS electrical inspection sub-work, and parts delivery — rather than in OEM-authorized service, which is structurally concentrated. The solicitation should establish MBE/WBE participation goals at or above the city’s 26%/6% contract-specific levels with an aggressive but realistic subcontracting plan. The Disadvantaged Business Enterprise (DBE) and Business Enterprise for Persons with Disabilities (BEPD) pools should also be searched in the Illinois Unified Certification Program (UCP) Directory and the City of Chicago M/WBE Directory.</w:t>
      </w:r>
    </w:p>
    <w:bookmarkEnd w:id="20"/>
    <w:bookmarkStart w:id="21" w:name="ideal-procurement-method"/>
    <w:p>
      <w:pPr>
        <w:pStyle w:val="Heading2"/>
      </w:pPr>
      <w:r>
        <w:t xml:space="preserve">Ideal Procurement Method</w:t>
      </w:r>
    </w:p>
    <w:p>
      <w:pPr>
        <w:pStyle w:val="FirstParagraph"/>
      </w:pPr>
      <w:r>
        <w:rPr>
          <w:bCs/>
          <w:b/>
        </w:rPr>
        <w:t xml:space="preserve">Request for Proposals (RFP)</w:t>
      </w:r>
      <w:r>
        <w:t xml:space="preserve"> </w:t>
      </w:r>
      <w:r>
        <w:t xml:space="preserve">— multi-year Term Services Agreement with geographic or OEM-brand lots, best-value award.</w:t>
      </w:r>
    </w:p>
    <w:p>
      <w:pPr>
        <w:pStyle w:val="BodyText"/>
      </w:pPr>
      <w:r>
        <w:t xml:space="preserve">The recommended method is an RFP because the scope mixes commodity-like preventive maintenance work (where pricing transparency matters) with judgment-intensive tasks where vendor capability, response time, technician certification, parts inventory depth, and OEM authorization directly determine service quality. An RFP allows Chicago to evaluate price alongside technical response plans, OEM authorization evidence, response-time commitments, M/WBE subcontracting plans, and safety record — which is the definition of best value under MCC § 2-92. An Invitation for Bids (IFB) would force the city to treat a life-safety scope as a pure low-bid commodity, which is inappropriate for this risk profile and would shift execution risk to departments. A cooperative piggyback (Sourcewell 092222-CAT or Sourcewell 120617-CMM) under MCC § 2-92-600 remains a legally defensible complementary vehicle for single-OEM fleets where a competitive RFP cannot be issued within the required timeline.</w:t>
      </w:r>
    </w:p>
    <w:p>
      <w:r>
        <w:pict>
          <v:rect style="width:0;height:1.5pt" o:hralign="center" o:hrstd="t" o:hr="t"/>
        </w:pict>
      </w:r>
    </w:p>
    <w:bookmarkEnd w:id="21"/>
    <w:bookmarkEnd w:id="22"/>
    <w:bookmarkStart w:id="25" w:name="X9cac3bb74aeca12882049aae502856a18f23170"/>
    <w:p>
      <w:pPr>
        <w:pStyle w:val="Heading1"/>
      </w:pPr>
      <w:r>
        <w:t xml:space="preserve">SECTION 2: PHASE 2 — INTERNAL DISCOVERY &amp; CURRENT STATE ANALYSIS</w:t>
      </w:r>
    </w:p>
    <w:bookmarkStart w:id="23" w:name="X57e9b0064a47e9a3cb078a26b5dc7e9d3aa111b"/>
    <w:p>
      <w:pPr>
        <w:pStyle w:val="Heading2"/>
      </w:pPr>
      <w:r>
        <w:t xml:space="preserve">Emergency Generator Service Specifications and Scope</w:t>
      </w:r>
    </w:p>
    <w:p>
      <w:pPr>
        <w:pStyle w:val="FirstParagraph"/>
      </w:pPr>
      <w:r>
        <w:t xml:space="preserve">Municipal emergency generator maintenance is not a single service; it is a bundled program of seven service categories that must be specified with precision in any solicitation. The table below defines the scope categories, the regulatory driver, and the typical frequency for a Level 1 NFPA 110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Service Category</w:t>
            </w:r>
          </w:p>
        </w:tc>
        <w:tc>
          <w:tcPr/>
          <w:p>
            <w:pPr>
              <w:pStyle w:val="Compact"/>
              <w:jc w:val="left"/>
            </w:pPr>
            <w:r>
              <w:rPr>
                <w:bCs/>
                <w:b/>
              </w:rPr>
              <w:t xml:space="preserve">Regulatory Driver</w:t>
            </w:r>
          </w:p>
        </w:tc>
        <w:tc>
          <w:tcPr/>
          <w:p>
            <w:pPr>
              <w:pStyle w:val="Compact"/>
              <w:jc w:val="left"/>
            </w:pPr>
            <w:r>
              <w:rPr>
                <w:bCs/>
                <w:b/>
              </w:rPr>
              <w:t xml:space="preserve">Typical Frequency (NFPA 110, Level 1)</w:t>
            </w:r>
          </w:p>
        </w:tc>
      </w:tr>
      <w:tr>
        <w:tc>
          <w:tcPr/>
          <w:p>
            <w:pPr>
              <w:pStyle w:val="Compact"/>
              <w:jc w:val="left"/>
            </w:pPr>
            <w:r>
              <w:t xml:space="preserve">Preventive Maintenance (PM) visits — fluids, filters, belts, hoses, battery, charger, block heater, control panel, alarm verification</w:t>
            </w:r>
          </w:p>
        </w:tc>
        <w:tc>
          <w:tcPr/>
          <w:p>
            <w:pPr>
              <w:pStyle w:val="Compact"/>
              <w:jc w:val="left"/>
            </w:pPr>
            <w:r>
              <w:t xml:space="preserve">NFPA 110 Ch. 8; OEM manuals</w:t>
            </w:r>
          </w:p>
        </w:tc>
        <w:tc>
          <w:tcPr/>
          <w:p>
            <w:pPr>
              <w:pStyle w:val="Compact"/>
              <w:jc w:val="left"/>
            </w:pPr>
            <w:r>
              <w:t xml:space="preserve">Semi-annual (2/year) at minimum; quarterly for Level 1 critical</w:t>
            </w:r>
          </w:p>
        </w:tc>
      </w:tr>
      <w:tr>
        <w:tc>
          <w:tcPr/>
          <w:p>
            <w:pPr>
              <w:pStyle w:val="Compact"/>
              <w:jc w:val="left"/>
            </w:pPr>
            <w:r>
              <w:t xml:space="preserve">Weekly visual inspection / monthly exercise run</w:t>
            </w:r>
          </w:p>
        </w:tc>
        <w:tc>
          <w:tcPr/>
          <w:p>
            <w:pPr>
              <w:pStyle w:val="Compact"/>
              <w:jc w:val="left"/>
            </w:pPr>
            <w:r>
              <w:t xml:space="preserve">NFPA 110 § 8.4.1</w:t>
            </w:r>
          </w:p>
        </w:tc>
        <w:tc>
          <w:tcPr/>
          <w:p>
            <w:pPr>
              <w:pStyle w:val="Compact"/>
              <w:jc w:val="left"/>
            </w:pPr>
            <w:r>
              <w:t xml:space="preserve">Weekly visual; monthly under load ≥30% nameplate for ≥30 minutes</w:t>
            </w:r>
          </w:p>
        </w:tc>
      </w:tr>
      <w:tr>
        <w:tc>
          <w:tcPr/>
          <w:p>
            <w:pPr>
              <w:pStyle w:val="Compact"/>
              <w:jc w:val="left"/>
            </w:pPr>
            <w:r>
              <w:t xml:space="preserve">Annual / triennial load bank testing</w:t>
            </w:r>
          </w:p>
        </w:tc>
        <w:tc>
          <w:tcPr/>
          <w:p>
            <w:pPr>
              <w:pStyle w:val="Compact"/>
              <w:jc w:val="left"/>
            </w:pPr>
            <w:r>
              <w:t xml:space="preserve">NFPA 110 § 8.4.2</w:t>
            </w:r>
          </w:p>
        </w:tc>
        <w:tc>
          <w:tcPr/>
          <w:p>
            <w:pPr>
              <w:pStyle w:val="Compact"/>
              <w:jc w:val="left"/>
            </w:pPr>
            <w:r>
              <w:t xml:space="preserve">Annual if monthly exercise fails 30% load; triennial 4-hour full-load test (every 36 months) for all Level 1</w:t>
            </w:r>
          </w:p>
        </w:tc>
      </w:tr>
      <w:tr>
        <w:tc>
          <w:tcPr/>
          <w:p>
            <w:pPr>
              <w:pStyle w:val="Compact"/>
              <w:jc w:val="left"/>
            </w:pPr>
            <w:r>
              <w:t xml:space="preserve">Fuel system service: polishing, water removal, ASTM D975 fuel sampling and laboratory analysis</w:t>
            </w:r>
          </w:p>
        </w:tc>
        <w:tc>
          <w:tcPr/>
          <w:p>
            <w:pPr>
              <w:pStyle w:val="Compact"/>
              <w:jc w:val="left"/>
            </w:pPr>
            <w:r>
              <w:t xml:space="preserve">NFPA 110 § 8.3.7; ASTM D975</w:t>
            </w:r>
          </w:p>
        </w:tc>
        <w:tc>
          <w:tcPr/>
          <w:p>
            <w:pPr>
              <w:pStyle w:val="Compact"/>
              <w:jc w:val="left"/>
            </w:pPr>
            <w:r>
              <w:t xml:space="preserve">Annual fuel sample and lab analysis; polish on failed test or every 3–5 years</w:t>
            </w:r>
          </w:p>
        </w:tc>
      </w:tr>
      <w:tr>
        <w:tc>
          <w:tcPr/>
          <w:p>
            <w:pPr>
              <w:pStyle w:val="Compact"/>
              <w:jc w:val="left"/>
            </w:pPr>
            <w:r>
              <w:t xml:space="preserve">Emissions testing and RICE NESHAP recordkeeping</w:t>
            </w:r>
          </w:p>
        </w:tc>
        <w:tc>
          <w:tcPr/>
          <w:p>
            <w:pPr>
              <w:pStyle w:val="Compact"/>
              <w:jc w:val="left"/>
            </w:pPr>
            <w:r>
              <w:t xml:space="preserve">40 CFR 63 Subpart ZZZZ; IEPA 35 IAC 217</w:t>
            </w:r>
          </w:p>
        </w:tc>
        <w:tc>
          <w:tcPr/>
          <w:p>
            <w:pPr>
              <w:pStyle w:val="Compact"/>
              <w:jc w:val="left"/>
            </w:pPr>
            <w:r>
              <w:t xml:space="preserve">Annual recordkeeping; permit-dependent stack test schedule</w:t>
            </w:r>
          </w:p>
        </w:tc>
      </w:tr>
      <w:tr>
        <w:tc>
          <w:tcPr/>
          <w:p>
            <w:pPr>
              <w:pStyle w:val="Compact"/>
              <w:jc w:val="left"/>
            </w:pPr>
            <w:r>
              <w:t xml:space="preserve">24/7 emergency repair response</w:t>
            </w:r>
          </w:p>
        </w:tc>
        <w:tc>
          <w:tcPr/>
          <w:p>
            <w:pPr>
              <w:pStyle w:val="Compact"/>
              <w:jc w:val="left"/>
            </w:pPr>
            <w:r>
              <w:t xml:space="preserve">Operational / contractual</w:t>
            </w:r>
          </w:p>
        </w:tc>
        <w:tc>
          <w:tcPr/>
          <w:p>
            <w:pPr>
              <w:pStyle w:val="Compact"/>
              <w:jc w:val="left"/>
            </w:pPr>
            <w:r>
              <w:t xml:space="preserve">On-call; 2–4 hour response Service Level Agreement (SLA) typical</w:t>
            </w:r>
          </w:p>
        </w:tc>
      </w:tr>
      <w:tr>
        <w:tc>
          <w:tcPr/>
          <w:p>
            <w:pPr>
              <w:pStyle w:val="Compact"/>
              <w:jc w:val="left"/>
            </w:pPr>
            <w:r>
              <w:t xml:space="preserve">Automatic Transfer Switch (ATS) maintenance</w:t>
            </w:r>
          </w:p>
        </w:tc>
        <w:tc>
          <w:tcPr/>
          <w:p>
            <w:pPr>
              <w:pStyle w:val="Compact"/>
              <w:jc w:val="left"/>
            </w:pPr>
            <w:r>
              <w:t xml:space="preserve">NFPA 110 § 8.4.6</w:t>
            </w:r>
          </w:p>
        </w:tc>
        <w:tc>
          <w:tcPr/>
          <w:p>
            <w:pPr>
              <w:pStyle w:val="Compact"/>
              <w:jc w:val="left"/>
            </w:pPr>
            <w:r>
              <w:t xml:space="preserve">One major maintenance plus three quarterly inspections annually</w:t>
            </w:r>
          </w:p>
        </w:tc>
      </w:tr>
    </w:tbl>
    <w:p>
      <w:pPr>
        <w:pStyle w:val="BodyText"/>
      </w:pPr>
      <w:r>
        <w:rPr>
          <w:bCs/>
          <w:b/>
        </w:rPr>
        <w:t xml:space="preserve">RECOMMENDATION:</w:t>
      </w:r>
      <w:r>
        <w:t xml:space="preserve"> </w:t>
      </w:r>
      <w:r>
        <w:t xml:space="preserve">The Department of Procurement Services should direct user departments (Office of Emergency Management and Communications, Chicago Fire Department, Chicago Police Department, Chicago Department of Water Management, Chicago Department of Transportation, Department of Fleet and Facility Management, Department of Aviation) to validate an enterprise-wide inventory of emergency generators — make, model, kW rating, fuel type, NFPA Level classification, installation year, last full-load test date, and current maintenance vendor — before issuance of the solicitation. The inventory should be reconciled to the City’s asset management system to confirm that spend under current blanket or departmental agreements is consistent with need.</w:t>
      </w:r>
    </w:p>
    <w:bookmarkEnd w:id="23"/>
    <w:bookmarkStart w:id="24" w:name="current-state-observations"/>
    <w:p>
      <w:pPr>
        <w:pStyle w:val="Heading2"/>
      </w:pPr>
      <w:r>
        <w:t xml:space="preserve">Current-State Observations</w:t>
      </w:r>
    </w:p>
    <w:p>
      <w:pPr>
        <w:pStyle w:val="FirstParagraph"/>
      </w:pPr>
      <w:r>
        <w:t xml:space="preserve">The current market research confirms that Chicago has several pathways already in place that can inform the solicitation:</w:t>
      </w:r>
    </w:p>
    <w:p>
      <w:pPr>
        <w:numPr>
          <w:ilvl w:val="0"/>
          <w:numId w:val="1002"/>
        </w:numPr>
        <w:pStyle w:val="Compact"/>
      </w:pPr>
      <w:r>
        <w:t xml:space="preserve">Chicago has existing Emergency Contracts authority under MCC § 2-92-040 (emergency awards up to $500,000 without advertisement) that covers unplanned equipment failures but is not a substitute for a scheduled maintenance program.</w:t>
      </w:r>
    </w:p>
    <w:p>
      <w:pPr>
        <w:numPr>
          <w:ilvl w:val="0"/>
          <w:numId w:val="1002"/>
        </w:numPr>
        <w:pStyle w:val="Compact"/>
      </w:pPr>
      <w:r>
        <w:t xml:space="preserve">Multiple Chicago sister agencies already maintain their own generator service contracts (most visibly CHA’s elevator-backup generator program), meaning the vendor pool is already serving the Chicago public sector and has current W-9 and insurance filings on record.</w:t>
      </w:r>
    </w:p>
    <w:p>
      <w:pPr>
        <w:numPr>
          <w:ilvl w:val="0"/>
          <w:numId w:val="1002"/>
        </w:numPr>
        <w:pStyle w:val="Compact"/>
      </w:pPr>
      <w:r>
        <w:t xml:space="preserve">Two Sourcewell contracts (092222-CAT, 120617-CMM) are awarded and available for joint procurement under MCC § 2-92-600 should a bridging vehicle be needed.</w:t>
      </w:r>
    </w:p>
    <w:p>
      <w:r>
        <w:pict>
          <v:rect style="width:0;height:1.5pt" o:hralign="center" o:hrstd="t" o:hr="t"/>
        </w:pict>
      </w:r>
    </w:p>
    <w:bookmarkEnd w:id="24"/>
    <w:bookmarkEnd w:id="25"/>
    <w:bookmarkStart w:id="32" w:name="Xcab377384ec32a6fe052abcea8ed1a31bd646b4"/>
    <w:p>
      <w:pPr>
        <w:pStyle w:val="Heading1"/>
      </w:pPr>
      <w:r>
        <w:t xml:space="preserve">SECTION 3: PHASE 3 — EXTERNAL MARKET &amp; PEER ANALYSIS</w:t>
      </w:r>
    </w:p>
    <w:bookmarkStart w:id="26" w:name="sister-agencies-research"/>
    <w:p>
      <w:pPr>
        <w:pStyle w:val="Heading2"/>
      </w:pPr>
      <w:r>
        <w:t xml:space="preserve">Sister Agencies Research</w:t>
      </w:r>
    </w:p>
    <w:p>
      <w:pPr>
        <w:pStyle w:val="FirstParagraph"/>
      </w:pPr>
      <w:r>
        <w:t xml:space="preserve">Chicago’s sister agencies each operate mission-critical standby power assets and maintain their own procurement activity in this category. All four are potential sources of specification language, vendor lists, and prior pricing intelligence for the solicitation.</w:t>
      </w:r>
    </w:p>
    <w:p>
      <w:pPr>
        <w:numPr>
          <w:ilvl w:val="0"/>
          <w:numId w:val="1003"/>
        </w:numPr>
        <w:pStyle w:val="Compact"/>
      </w:pPr>
      <w:r>
        <w:t xml:space="preserve">Chicago Transit Authority (CTA) — Operates approximately 50 traction power substations plus standby power at rail control centers, bus garages, and the Control Center. CTA’s procurement is governed by Federal Transit Administration (FTA) Circular 4220.1F rules because of federal funding, and contracts are posted on the CTA Procurement portal (transitchicago.com/procurement). Substation and standby-power service vehicles are typically structured as multi-year requirements contracts with emergency response SLAs.</w:t>
      </w:r>
    </w:p>
    <w:p>
      <w:pPr>
        <w:numPr>
          <w:ilvl w:val="0"/>
          <w:numId w:val="1003"/>
        </w:numPr>
        <w:pStyle w:val="Compact"/>
      </w:pPr>
      <w:r>
        <w:t xml:space="preserve">Chicago Public Schools (CPS) — Operates standby generators across schools serving as emergency shelter sites and at the central administrative building. CPS typically issues its own Request for Proposals and maintains its own approved-vendor pool.</w:t>
      </w:r>
    </w:p>
    <w:p>
      <w:pPr>
        <w:numPr>
          <w:ilvl w:val="0"/>
          <w:numId w:val="1003"/>
        </w:numPr>
        <w:pStyle w:val="Compact"/>
      </w:pPr>
      <w:r>
        <w:t xml:space="preserve">Chicago Housing Authority (CHA) — Actively procures generator inspection, testing, routine maintenance, and minor repair services for approximately 80 emergency backup generators of varying makes and models at CHA properties with elevators. The CHA RFP requires an annual minimum one-hour full-load test per generator witnessed by the City of Chicago Electrical Bureau Inspector per Section 18-27-701.35 of the Chicago Building Code (now migrated to the equivalent section of Title 14E) — a specification the city can directly reuse.</w:t>
      </w:r>
    </w:p>
    <w:p>
      <w:pPr>
        <w:numPr>
          <w:ilvl w:val="0"/>
          <w:numId w:val="1003"/>
        </w:numPr>
        <w:pStyle w:val="Compact"/>
      </w:pPr>
      <w:r>
        <w:t xml:space="preserve">Chicago Park District (CPD) — Operates generators at field houses, cultural centers, and critical recreation infrastructure. CPD procurement is posted on its own vendor portal and typically follows term service agreements with a single primary provider plus an alternate.</w:t>
      </w:r>
    </w:p>
    <w:bookmarkEnd w:id="26"/>
    <w:bookmarkStart w:id="29" w:name="peer-jurisdiction-analysis"/>
    <w:p>
      <w:pPr>
        <w:pStyle w:val="Heading2"/>
      </w:pPr>
      <w:r>
        <w:t xml:space="preserve">Peer Jurisdiction Analysis</w:t>
      </w:r>
    </w:p>
    <w:bookmarkStart w:id="27" w:name="Xb65f67e098de6aa3e6bb832658ef9be908859b7"/>
    <w:p>
      <w:pPr>
        <w:pStyle w:val="Heading3"/>
      </w:pPr>
      <w:r>
        <w:t xml:space="preserve">New York, NY — Department of Citywide Administrative Services (DCAS)</w:t>
      </w:r>
    </w:p>
    <w:p>
      <w:pPr>
        <w:pStyle w:val="FirstParagraph"/>
      </w:pPr>
      <w:r>
        <w:t xml:space="preserve">DCAS’s Office of Citywide Procurement administers a portfolio of roughly 1,000 multi-year requirements contracts on behalf of all city agencies. DCAS maintains a citywide requirements contract for complete service, inspection, and testing of generator sets and related equipment, performed on both scheduled and emergency bases for DCAS facilities across the five boroughs. Key features:</w:t>
      </w:r>
    </w:p>
    <w:p>
      <w:pPr>
        <w:numPr>
          <w:ilvl w:val="0"/>
          <w:numId w:val="1004"/>
        </w:numPr>
        <w:pStyle w:val="Compact"/>
      </w:pPr>
      <w:r>
        <w:t xml:space="preserve">Multi-year requirements-contract structure (rather than standalone single-facility agreements)</w:t>
      </w:r>
    </w:p>
    <w:p>
      <w:pPr>
        <w:numPr>
          <w:ilvl w:val="0"/>
          <w:numId w:val="1004"/>
        </w:numPr>
        <w:pStyle w:val="Compact"/>
      </w:pPr>
      <w:r>
        <w:t xml:space="preserve">Both scheduled PM and on-call emergency repair in a single contract vehicle</w:t>
      </w:r>
    </w:p>
    <w:p>
      <w:pPr>
        <w:numPr>
          <w:ilvl w:val="0"/>
          <w:numId w:val="1004"/>
        </w:numPr>
        <w:pStyle w:val="Compact"/>
      </w:pPr>
      <w:r>
        <w:t xml:space="preserve">Centralized issuance with decentralized ordering by user agency</w:t>
      </w:r>
    </w:p>
    <w:p>
      <w:pPr>
        <w:numPr>
          <w:ilvl w:val="0"/>
          <w:numId w:val="1004"/>
        </w:numPr>
        <w:pStyle w:val="Compact"/>
      </w:pPr>
      <w:r>
        <w:t xml:space="preserve">Solicitations issued electronically through the City Record Online (CROL) portal</w:t>
      </w:r>
    </w:p>
    <w:bookmarkEnd w:id="27"/>
    <w:bookmarkStart w:id="28" w:name="Xbe4c84388082b6eeeeb1af8748d540aca73ebeb"/>
    <w:p>
      <w:pPr>
        <w:pStyle w:val="Heading3"/>
      </w:pPr>
      <w:r>
        <w:t xml:space="preserve">Los Angeles, CA — County of Los Angeles Department of Public Works / City of Los Angeles General Services Department</w:t>
      </w:r>
    </w:p>
    <w:p>
      <w:pPr>
        <w:pStyle w:val="FirstParagraph"/>
      </w:pPr>
      <w:r>
        <w:t xml:space="preserve">Los Angeles County and the City of Los Angeles generally structure generator service as annual agreements with semi-annual, quarterly, or monthly inspections depending on facility criticality. The 2023 County of Los Angeles Fire Code Chapter 12 (Energy Systems) requires that emergency power systems and all appurtenant components be inspected and tested under load in accordance with NFPA 110 and NFPA 111. Key features:</w:t>
      </w:r>
    </w:p>
    <w:p>
      <w:pPr>
        <w:numPr>
          <w:ilvl w:val="0"/>
          <w:numId w:val="1005"/>
        </w:numPr>
        <w:pStyle w:val="Compact"/>
      </w:pPr>
      <w:r>
        <w:t xml:space="preserve">Tiered PM frequency by facility criticality (monthly, quarterly, semi-annual)</w:t>
      </w:r>
    </w:p>
    <w:p>
      <w:pPr>
        <w:numPr>
          <w:ilvl w:val="0"/>
          <w:numId w:val="1005"/>
        </w:numPr>
        <w:pStyle w:val="Compact"/>
      </w:pPr>
      <w:r>
        <w:t xml:space="preserve">Fire-code-driven load bank testing requirements</w:t>
      </w:r>
    </w:p>
    <w:p>
      <w:pPr>
        <w:numPr>
          <w:ilvl w:val="0"/>
          <w:numId w:val="1005"/>
        </w:numPr>
        <w:pStyle w:val="Compact"/>
      </w:pPr>
      <w:r>
        <w:t xml:space="preserve">State of California Assembly Bill and South Coast Air Quality Management District (SCAQMD) air permitting is more stringent than federal RICE NESHAP</w:t>
      </w:r>
    </w:p>
    <w:p>
      <w:pPr>
        <w:numPr>
          <w:ilvl w:val="0"/>
          <w:numId w:val="1005"/>
        </w:numPr>
        <w:pStyle w:val="Compact"/>
      </w:pPr>
      <w:r>
        <w:t xml:space="preserve">Frequent use of multi-vendor awards across LA’s geographic regions</w:t>
      </w:r>
    </w:p>
    <w:bookmarkEnd w:id="28"/>
    <w:bookmarkEnd w:id="29"/>
    <w:bookmarkStart w:id="30" w:name="regulatory-framework-comparison"/>
    <w:p>
      <w:pPr>
        <w:pStyle w:val="Heading2"/>
      </w:pPr>
      <w:r>
        <w:t xml:space="preserve">Regulatory Framework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Jurisdiction</w:t>
            </w:r>
          </w:p>
        </w:tc>
        <w:tc>
          <w:tcPr/>
          <w:p>
            <w:pPr>
              <w:pStyle w:val="Compact"/>
              <w:jc w:val="left"/>
            </w:pPr>
            <w:r>
              <w:rPr>
                <w:bCs/>
                <w:b/>
              </w:rPr>
              <w:t xml:space="preserve">Primary Requirements</w:t>
            </w:r>
          </w:p>
        </w:tc>
        <w:tc>
          <w:tcPr/>
          <w:p>
            <w:pPr>
              <w:pStyle w:val="Compact"/>
              <w:jc w:val="left"/>
            </w:pPr>
            <w:r>
              <w:rPr>
                <w:bCs/>
                <w:b/>
              </w:rPr>
              <w:t xml:space="preserve">Key Features</w:t>
            </w:r>
          </w:p>
        </w:tc>
      </w:tr>
      <w:tr>
        <w:tc>
          <w:tcPr/>
          <w:p>
            <w:pPr>
              <w:pStyle w:val="Compact"/>
              <w:jc w:val="left"/>
            </w:pPr>
            <w:r>
              <w:t xml:space="preserve">City of Chicago</w:t>
            </w:r>
          </w:p>
        </w:tc>
        <w:tc>
          <w:tcPr/>
          <w:p>
            <w:pPr>
              <w:pStyle w:val="Compact"/>
              <w:jc w:val="left"/>
            </w:pPr>
            <w:r>
              <w:t xml:space="preserve">MCC Title 14E (Electrical Code) Section 14E-7-700; Chicago Building Code annual witnessed full-load test; NFPA 110; NFPA 37; IEPA 35 IAC 217</w:t>
            </w:r>
          </w:p>
        </w:tc>
        <w:tc>
          <w:tcPr/>
          <w:p>
            <w:pPr>
              <w:pStyle w:val="Compact"/>
              <w:jc w:val="left"/>
            </w:pPr>
            <w:r>
              <w:t xml:space="preserve">Witnessed full-load test by City of Chicago Electrical Bureau Inspector; UL 2200 listing required; ROSS registration for smaller engines</w:t>
            </w:r>
          </w:p>
        </w:tc>
      </w:tr>
      <w:tr>
        <w:tc>
          <w:tcPr/>
          <w:p>
            <w:pPr>
              <w:pStyle w:val="Compact"/>
              <w:jc w:val="left"/>
            </w:pPr>
            <w:r>
              <w:t xml:space="preserve">New York City</w:t>
            </w:r>
          </w:p>
        </w:tc>
        <w:tc>
          <w:tcPr/>
          <w:p>
            <w:pPr>
              <w:pStyle w:val="Compact"/>
              <w:jc w:val="left"/>
            </w:pPr>
            <w:r>
              <w:t xml:space="preserve">NYC Fire Code Chapter 6; NYC Building Code §2702; NYC DEP air permits; NFPA 110</w:t>
            </w:r>
          </w:p>
        </w:tc>
        <w:tc>
          <w:tcPr/>
          <w:p>
            <w:pPr>
              <w:pStyle w:val="Compact"/>
              <w:jc w:val="left"/>
            </w:pPr>
            <w:r>
              <w:t xml:space="preserve">DEP air registration and emissions caps; annual testing reports to FDNY; stricter urban noise and idling rules</w:t>
            </w:r>
          </w:p>
        </w:tc>
      </w:tr>
      <w:tr>
        <w:tc>
          <w:tcPr/>
          <w:p>
            <w:pPr>
              <w:pStyle w:val="Compact"/>
              <w:jc w:val="left"/>
            </w:pPr>
            <w:r>
              <w:t xml:space="preserve">Los Angeles County / City</w:t>
            </w:r>
          </w:p>
        </w:tc>
        <w:tc>
          <w:tcPr/>
          <w:p>
            <w:pPr>
              <w:pStyle w:val="Compact"/>
              <w:jc w:val="left"/>
            </w:pPr>
            <w:r>
              <w:t xml:space="preserve">CA Title 24; CA Fire Code Ch. 12; SCAQMD Rule 1110.2 / 1470; NFPA 110 and NFPA 111</w:t>
            </w:r>
          </w:p>
        </w:tc>
        <w:tc>
          <w:tcPr/>
          <w:p>
            <w:pPr>
              <w:pStyle w:val="Compact"/>
              <w:jc w:val="left"/>
            </w:pPr>
            <w:r>
              <w:t xml:space="preserve">SCAQMD is the most restrictive U.S. air district; Tier 4 Final requirements are enforced more strictly; seismic bracing per CA code</w:t>
            </w:r>
          </w:p>
        </w:tc>
      </w:tr>
      <w:tr>
        <w:tc>
          <w:tcPr/>
          <w:p>
            <w:pPr>
              <w:pStyle w:val="Compact"/>
              <w:jc w:val="left"/>
            </w:pPr>
            <w:r>
              <w:t xml:space="preserve">Denver, CO</w:t>
            </w:r>
          </w:p>
        </w:tc>
        <w:tc>
          <w:tcPr/>
          <w:p>
            <w:pPr>
              <w:pStyle w:val="Compact"/>
              <w:jc w:val="left"/>
            </w:pPr>
            <w:r>
              <w:t xml:space="preserve">Denver Fire Code; Denver Building Code; Colorado Reg. 1; NFPA 110</w:t>
            </w:r>
          </w:p>
        </w:tc>
        <w:tc>
          <w:tcPr/>
          <w:p>
            <w:pPr>
              <w:pStyle w:val="Compact"/>
              <w:jc w:val="left"/>
            </w:pPr>
            <w:r>
              <w:t xml:space="preserve">Reg. 1 air permit for stationary sources; Denver Environmental Quality permitting for fuel tanks</w:t>
            </w:r>
          </w:p>
        </w:tc>
      </w:tr>
      <w:tr>
        <w:tc>
          <w:tcPr/>
          <w:p>
            <w:pPr>
              <w:pStyle w:val="Compact"/>
              <w:jc w:val="left"/>
            </w:pPr>
            <w:r>
              <w:t xml:space="preserve">Cook County, IL</w:t>
            </w:r>
          </w:p>
        </w:tc>
        <w:tc>
          <w:tcPr/>
          <w:p>
            <w:pPr>
              <w:pStyle w:val="Compact"/>
              <w:jc w:val="left"/>
            </w:pPr>
            <w:r>
              <w:t xml:space="preserve">Cook County Building and Fire Code (adopts IBC/IFC); Illinois EPA permits; NFPA 110</w:t>
            </w:r>
          </w:p>
        </w:tc>
        <w:tc>
          <w:tcPr/>
          <w:p>
            <w:pPr>
              <w:pStyle w:val="Compact"/>
              <w:jc w:val="left"/>
            </w:pPr>
            <w:r>
              <w:t xml:space="preserve">Bonfire vendor portal procurement; joint potential with City of Chicago</w:t>
            </w:r>
          </w:p>
        </w:tc>
      </w:tr>
      <w:tr>
        <w:tc>
          <w:tcPr/>
          <w:p>
            <w:pPr>
              <w:pStyle w:val="Compact"/>
              <w:jc w:val="left"/>
            </w:pPr>
            <w:r>
              <w:t xml:space="preserve">State of Illinois (CMS)</w:t>
            </w:r>
          </w:p>
        </w:tc>
        <w:tc>
          <w:tcPr/>
          <w:p>
            <w:pPr>
              <w:pStyle w:val="Compact"/>
              <w:jc w:val="left"/>
            </w:pPr>
            <w:r>
              <w:t xml:space="preserve">Illinois Procurement Code; IEPA 35 IAC 217; NFPA 110; Illinois Accessibility Code</w:t>
            </w:r>
          </w:p>
        </w:tc>
        <w:tc>
          <w:tcPr/>
          <w:p>
            <w:pPr>
              <w:pStyle w:val="Compact"/>
              <w:jc w:val="left"/>
            </w:pPr>
            <w:r>
              <w:t xml:space="preserve">State Master Service Agreements; state-run ROSS program; published pricing via Illinois Procurement Bulletin</w:t>
            </w:r>
          </w:p>
        </w:tc>
      </w:tr>
    </w:tbl>
    <w:bookmarkEnd w:id="30"/>
    <w:bookmarkStart w:id="31" w:name="market-structure-major-suppliers"/>
    <w:p>
      <w:pPr>
        <w:pStyle w:val="Heading2"/>
      </w:pPr>
      <w:r>
        <w:t xml:space="preserve">Market Structure &amp; Major Suppliers</w:t>
      </w:r>
    </w:p>
    <w:p>
      <w:pPr>
        <w:pStyle w:val="FirstParagraph"/>
      </w:pPr>
      <w:r>
        <w:t xml:space="preserve">The Chicago and broader upper-Midwest emergency generator service market is structured in four tiers. Bold lead-in bullets identify the tier characteristics:</w:t>
      </w:r>
    </w:p>
    <w:p>
      <w:pPr>
        <w:numPr>
          <w:ilvl w:val="0"/>
          <w:numId w:val="1006"/>
        </w:numPr>
        <w:pStyle w:val="Compact"/>
      </w:pPr>
      <w:r>
        <w:rPr>
          <w:bCs/>
          <w:b/>
        </w:rPr>
        <w:t xml:space="preserve">Tier 1 — OEM-Authorized Dealers (highest capability, highest concentration):</w:t>
      </w:r>
      <w:r>
        <w:t xml:space="preserve"> </w:t>
      </w:r>
      <w:r>
        <w:t xml:space="preserve">Altorfer Cat (Caterpillar authorized, the dominant Cat presence in Northern and Central Illinois since 1957, factory-trained power-generation technicians, 38+ locations, has absorbed the former Patten Industries Cat footprint); Cummins Sales and Service (direct Cummins authorized coverage for Illinois and Indiana); Kohler Power Systems dealer network (MPower and regional independents); Generac Industrial authorized dealers (MPower, Trusted Power Systems).</w:t>
      </w:r>
    </w:p>
    <w:p>
      <w:pPr>
        <w:numPr>
          <w:ilvl w:val="0"/>
          <w:numId w:val="1006"/>
        </w:numPr>
        <w:pStyle w:val="Compact"/>
      </w:pPr>
      <w:r>
        <w:rPr>
          <w:bCs/>
          <w:b/>
        </w:rPr>
        <w:t xml:space="preserve">Tier 2 — Multi-Brand Authorized Service Firms:</w:t>
      </w:r>
      <w:r>
        <w:t xml:space="preserve"> </w:t>
      </w:r>
      <w:r>
        <w:t xml:space="preserve">Trusted Power Systems (authorized for Cummins, Kohler, Generac, Briggs &amp; Stratton, GE, among others; installs and services 6 kW–1 MW); MPower (authorized Kohler and Generac, serving greater Chicagoland plus Wisconsin, Indiana, Michigan); Four Seasons Heating, Air Conditioning, Plumbing, Electric (20+ certified Generac/Kohler technicians, 24/7 emergency service, 7,000+ Chicagoland installations); GSHA Services (direct Kohler dealer for Illinois and Wisconsin).</w:t>
      </w:r>
    </w:p>
    <w:p>
      <w:pPr>
        <w:numPr>
          <w:ilvl w:val="0"/>
          <w:numId w:val="1006"/>
        </w:numPr>
        <w:pStyle w:val="Compact"/>
      </w:pPr>
      <w:r>
        <w:rPr>
          <w:bCs/>
          <w:b/>
        </w:rPr>
        <w:t xml:space="preserve">Tier 3 — Independent Specialty Service Providers:</w:t>
      </w:r>
      <w:r>
        <w:t xml:space="preserve"> </w:t>
      </w:r>
      <w:r>
        <w:t xml:space="preserve">Affiliated Customer Service Inc. (Chicago-based sales/service/testing/inspection firm with dedicated PM agreement practice); Penco Electrical Contractor (Chicago-area generator service); NorthShore Power Electric (Kohler-focused); Buckeye Power Sales (Chicago location, multi-brand).</w:t>
      </w:r>
    </w:p>
    <w:p>
      <w:pPr>
        <w:numPr>
          <w:ilvl w:val="0"/>
          <w:numId w:val="1006"/>
        </w:numPr>
        <w:pStyle w:val="Compact"/>
      </w:pPr>
      <w:r>
        <w:rPr>
          <w:bCs/>
          <w:b/>
        </w:rPr>
        <w:t xml:space="preserve">Tier 4 — Fuel Polishing and ASTM D975 Laboratory Analysis Specialists:</w:t>
      </w:r>
      <w:r>
        <w:t xml:space="preserve"> </w:t>
      </w:r>
      <w:r>
        <w:t xml:space="preserve">Earthsafe, Precision Filtration Products, Dieselcraft, CommTank, and Iowa Central Fuel Testing Laboratory provide ASTM D975 sampling and laboratory testing that NFPA 110 §8.3.7 and annual generator PM programs require.</w:t>
      </w:r>
    </w:p>
    <w:p>
      <w:pPr>
        <w:numPr>
          <w:ilvl w:val="0"/>
          <w:numId w:val="1006"/>
        </w:numPr>
        <w:pStyle w:val="Compact"/>
      </w:pPr>
      <w:r>
        <w:rPr>
          <w:bCs/>
          <w:b/>
        </w:rPr>
        <w:t xml:space="preserve">Cooperative Contract Availability:</w:t>
      </w:r>
      <w:r>
        <w:t xml:space="preserve"> </w:t>
      </w:r>
      <w:r>
        <w:t xml:space="preserve">Sourcewell Contract No. 092222-CAT (Caterpillar/Carolina Cat — Electrical Energy Power Generation Equipment including generator sets, switchgear, maintenance contracts, and automatic transfer switches); Sourcewell Contract No. 120617-CMM (Cummins); Generac Industrial Sourcewell cooperative contract; OMNIA Partners public-sector cooperative portfolio (87,000+ member agencies); and the Suburban Purchasing Cooperative for North-Central Illinois joint procurement opportunities.</w:t>
      </w:r>
    </w:p>
    <w:p>
      <w:pPr>
        <w:numPr>
          <w:ilvl w:val="0"/>
          <w:numId w:val="1006"/>
        </w:numPr>
        <w:pStyle w:val="Compact"/>
      </w:pPr>
      <w:r>
        <w:rPr>
          <w:bCs/>
          <w:b/>
        </w:rPr>
        <w:t xml:space="preserve">Support Infrastructure:</w:t>
      </w:r>
      <w:r>
        <w:t xml:space="preserve"> </w:t>
      </w:r>
      <w:r>
        <w:t xml:space="preserve">All Tier 1 and Tier 2 firms in Chicago maintain 24/7 emergency dispatch, regional parts depots, mobile load bank trailers (500 kW and 1 MW configurations are standard), and Environmental Protection Agency–certified technicians for refrigerant and fuel work.</w:t>
      </w:r>
    </w:p>
    <w:p>
      <w:r>
        <w:pict>
          <v:rect style="width:0;height:1.5pt" o:hralign="center" o:hrstd="t" o:hr="t"/>
        </w:pict>
      </w:r>
    </w:p>
    <w:bookmarkEnd w:id="31"/>
    <w:bookmarkEnd w:id="32"/>
    <w:bookmarkStart w:id="34" w:name="section-4-qualified-vendor-pool"/>
    <w:p>
      <w:pPr>
        <w:pStyle w:val="Heading1"/>
      </w:pPr>
      <w:r>
        <w:t xml:space="preserve">SECTION 4: QUALIFIED VENDOR POOL</w:t>
      </w:r>
    </w:p>
    <w:p>
      <w:pPr>
        <w:pStyle w:val="FirstParagraph"/>
      </w:pPr>
      <w:r>
        <w:t xml:space="preserve">The following qualified vendors have been identified as potentially responsive to a City of Chicago emergency generator maintenance solicitation. This list is not exhaustive and must be validated against current certification databases, insurance filings, debarment/suspension status, and diversity status before any award. Vendors are listed alphabetically within their tier, not in preference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Company Name</w:t>
            </w:r>
          </w:p>
        </w:tc>
        <w:tc>
          <w:tcPr/>
          <w:p>
            <w:pPr>
              <w:pStyle w:val="Compact"/>
              <w:jc w:val="left"/>
            </w:pPr>
            <w:r>
              <w:rPr>
                <w:bCs/>
                <w:b/>
              </w:rPr>
              <w:t xml:space="preserve">Location</w:t>
            </w:r>
          </w:p>
        </w:tc>
        <w:tc>
          <w:tcPr/>
          <w:p>
            <w:pPr>
              <w:pStyle w:val="Compact"/>
              <w:jc w:val="left"/>
            </w:pPr>
            <w:r>
              <w:rPr>
                <w:bCs/>
                <w:b/>
              </w:rPr>
              <w:t xml:space="preserve">Capabilities</w:t>
            </w:r>
          </w:p>
        </w:tc>
      </w:tr>
      <w:tr>
        <w:tc>
          <w:tcPr/>
          <w:p>
            <w:pPr>
              <w:pStyle w:val="Compact"/>
              <w:jc w:val="left"/>
            </w:pPr>
            <w:r>
              <w:t xml:space="preserve">Affiliated Customer Service Inc.</w:t>
            </w:r>
          </w:p>
        </w:tc>
        <w:tc>
          <w:tcPr/>
          <w:p>
            <w:pPr>
              <w:pStyle w:val="Compact"/>
              <w:jc w:val="left"/>
            </w:pPr>
            <w:r>
              <w:t xml:space="preserve">Chicago, IL</w:t>
            </w:r>
          </w:p>
        </w:tc>
        <w:tc>
          <w:tcPr/>
          <w:p>
            <w:pPr>
              <w:pStyle w:val="Compact"/>
              <w:jc w:val="left"/>
            </w:pPr>
            <w:r>
              <w:t xml:space="preserve">Preventive maintenance and service contracts, generator sales, service, testing, and inspection; Chicago-based independent</w:t>
            </w:r>
          </w:p>
        </w:tc>
      </w:tr>
      <w:tr>
        <w:tc>
          <w:tcPr/>
          <w:p>
            <w:pPr>
              <w:pStyle w:val="Compact"/>
              <w:jc w:val="left"/>
            </w:pPr>
            <w:r>
              <w:t xml:space="preserve">Altorfer Cat (Altorfer Power Systems)</w:t>
            </w:r>
          </w:p>
        </w:tc>
        <w:tc>
          <w:tcPr/>
          <w:p>
            <w:pPr>
              <w:pStyle w:val="Compact"/>
              <w:jc w:val="left"/>
            </w:pPr>
            <w:r>
              <w:t xml:space="preserve">Elmhurst, IL (HQ); 38+ locations Iowa/Illinois/Missouri/Indiana</w:t>
            </w:r>
          </w:p>
        </w:tc>
        <w:tc>
          <w:tcPr/>
          <w:p>
            <w:pPr>
              <w:pStyle w:val="Compact"/>
              <w:jc w:val="left"/>
            </w:pPr>
            <w:r>
              <w:t xml:space="preserve">Caterpillar authorized dealer; full PM program, load bank testing, emergency service, diagnostics, parts inventory, factory-trained Cat technicians</w:t>
            </w:r>
          </w:p>
        </w:tc>
      </w:tr>
      <w:tr>
        <w:tc>
          <w:tcPr/>
          <w:p>
            <w:pPr>
              <w:pStyle w:val="Compact"/>
              <w:jc w:val="left"/>
            </w:pPr>
            <w:r>
              <w:t xml:space="preserve">Buckeye Power Sales</w:t>
            </w:r>
          </w:p>
        </w:tc>
        <w:tc>
          <w:tcPr/>
          <w:p>
            <w:pPr>
              <w:pStyle w:val="Compact"/>
              <w:jc w:val="left"/>
            </w:pPr>
            <w:r>
              <w:t xml:space="preserve">Alsip, IL (Chicago location)</w:t>
            </w:r>
          </w:p>
        </w:tc>
        <w:tc>
          <w:tcPr/>
          <w:p>
            <w:pPr>
              <w:pStyle w:val="Compact"/>
              <w:jc w:val="left"/>
            </w:pPr>
            <w:r>
              <w:t xml:space="preserve">Multi-brand generator sales and service; PM agreements</w:t>
            </w:r>
          </w:p>
        </w:tc>
      </w:tr>
      <w:tr>
        <w:tc>
          <w:tcPr/>
          <w:p>
            <w:pPr>
              <w:pStyle w:val="Compact"/>
              <w:jc w:val="left"/>
            </w:pPr>
            <w:r>
              <w:t xml:space="preserve">Cummins Sales and Service — Illinois/Indiana</w:t>
            </w:r>
          </w:p>
        </w:tc>
        <w:tc>
          <w:tcPr/>
          <w:p>
            <w:pPr>
              <w:pStyle w:val="Compact"/>
              <w:jc w:val="left"/>
            </w:pPr>
            <w:r>
              <w:t xml:space="preserve">Various (Chicago metro)</w:t>
            </w:r>
          </w:p>
        </w:tc>
        <w:tc>
          <w:tcPr/>
          <w:p>
            <w:pPr>
              <w:pStyle w:val="Compact"/>
              <w:jc w:val="left"/>
            </w:pPr>
            <w:r>
              <w:t xml:space="preserve">Direct Cummins authorized coverage; full PM, load bank, emergency, parts, warranty; Sourcewell 120617-CMM contract holder</w:t>
            </w:r>
          </w:p>
        </w:tc>
      </w:tr>
      <w:tr>
        <w:tc>
          <w:tcPr/>
          <w:p>
            <w:pPr>
              <w:pStyle w:val="Compact"/>
              <w:jc w:val="left"/>
            </w:pPr>
            <w:r>
              <w:t xml:space="preserve">Four Seasons Heating, Air Conditioning, Plumbing, Electric</w:t>
            </w:r>
          </w:p>
        </w:tc>
        <w:tc>
          <w:tcPr/>
          <w:p>
            <w:pPr>
              <w:pStyle w:val="Compact"/>
              <w:jc w:val="left"/>
            </w:pPr>
            <w:r>
              <w:t xml:space="preserve">Chicago, IL</w:t>
            </w:r>
          </w:p>
        </w:tc>
        <w:tc>
          <w:tcPr/>
          <w:p>
            <w:pPr>
              <w:pStyle w:val="Compact"/>
              <w:jc w:val="left"/>
            </w:pPr>
            <w:r>
              <w:t xml:space="preserve">Certified Generac and Kohler dealer; 20+ generator technicians; 24/7 emergency; 7,000+ Chicagoland installations; A+ BBB</w:t>
            </w:r>
          </w:p>
        </w:tc>
      </w:tr>
      <w:tr>
        <w:tc>
          <w:tcPr/>
          <w:p>
            <w:pPr>
              <w:pStyle w:val="Compact"/>
              <w:jc w:val="left"/>
            </w:pPr>
            <w:r>
              <w:t xml:space="preserve">GSHA Services, Ltd.</w:t>
            </w:r>
          </w:p>
        </w:tc>
        <w:tc>
          <w:tcPr/>
          <w:p>
            <w:pPr>
              <w:pStyle w:val="Compact"/>
              <w:jc w:val="left"/>
            </w:pPr>
            <w:r>
              <w:t xml:space="preserve">Illinois/Wisconsin</w:t>
            </w:r>
          </w:p>
        </w:tc>
        <w:tc>
          <w:tcPr/>
          <w:p>
            <w:pPr>
              <w:pStyle w:val="Compact"/>
              <w:jc w:val="left"/>
            </w:pPr>
            <w:r>
              <w:t xml:space="preserve">Direct Kohler dealer and certified installer; service and maintenance</w:t>
            </w:r>
          </w:p>
        </w:tc>
      </w:tr>
      <w:tr>
        <w:tc>
          <w:tcPr/>
          <w:p>
            <w:pPr>
              <w:pStyle w:val="Compact"/>
              <w:jc w:val="left"/>
            </w:pPr>
            <w:r>
              <w:t xml:space="preserve">MPower</w:t>
            </w:r>
          </w:p>
        </w:tc>
        <w:tc>
          <w:tcPr/>
          <w:p>
            <w:pPr>
              <w:pStyle w:val="Compact"/>
              <w:jc w:val="left"/>
            </w:pPr>
            <w:r>
              <w:t xml:space="preserve">Chicagoland</w:t>
            </w:r>
          </w:p>
        </w:tc>
        <w:tc>
          <w:tcPr/>
          <w:p>
            <w:pPr>
              <w:pStyle w:val="Compact"/>
              <w:jc w:val="left"/>
            </w:pPr>
            <w:r>
              <w:t xml:space="preserve">Authorized Generac and Kohler dealer; services Illinois, Wisconsin, Indiana, Michigan</w:t>
            </w:r>
          </w:p>
        </w:tc>
      </w:tr>
      <w:tr>
        <w:tc>
          <w:tcPr/>
          <w:p>
            <w:pPr>
              <w:pStyle w:val="Compact"/>
              <w:jc w:val="left"/>
            </w:pPr>
            <w:r>
              <w:t xml:space="preserve">NorthShore Power Electric</w:t>
            </w:r>
          </w:p>
        </w:tc>
        <w:tc>
          <w:tcPr/>
          <w:p>
            <w:pPr>
              <w:pStyle w:val="Compact"/>
              <w:jc w:val="left"/>
            </w:pPr>
            <w:r>
              <w:t xml:space="preserve">North Shore Chicago</w:t>
            </w:r>
          </w:p>
        </w:tc>
        <w:tc>
          <w:tcPr/>
          <w:p>
            <w:pPr>
              <w:pStyle w:val="Compact"/>
              <w:jc w:val="left"/>
            </w:pPr>
            <w:r>
              <w:t xml:space="preserve">Kohler-focused installation and service</w:t>
            </w:r>
          </w:p>
        </w:tc>
      </w:tr>
      <w:tr>
        <w:tc>
          <w:tcPr/>
          <w:p>
            <w:pPr>
              <w:pStyle w:val="Compact"/>
              <w:jc w:val="left"/>
            </w:pPr>
            <w:r>
              <w:t xml:space="preserve">Penco Electrical Contractor</w:t>
            </w:r>
          </w:p>
        </w:tc>
        <w:tc>
          <w:tcPr/>
          <w:p>
            <w:pPr>
              <w:pStyle w:val="Compact"/>
              <w:jc w:val="left"/>
            </w:pPr>
            <w:r>
              <w:t xml:space="preserve">Chicago, IL</w:t>
            </w:r>
          </w:p>
        </w:tc>
        <w:tc>
          <w:tcPr/>
          <w:p>
            <w:pPr>
              <w:pStyle w:val="Compact"/>
              <w:jc w:val="left"/>
            </w:pPr>
            <w:r>
              <w:t xml:space="preserve">Generator service and maintenance; electrical contractor</w:t>
            </w:r>
          </w:p>
        </w:tc>
      </w:tr>
      <w:tr>
        <w:tc>
          <w:tcPr/>
          <w:p>
            <w:pPr>
              <w:pStyle w:val="Compact"/>
              <w:jc w:val="left"/>
            </w:pPr>
            <w:r>
              <w:t xml:space="preserve">STS Electric</w:t>
            </w:r>
          </w:p>
        </w:tc>
        <w:tc>
          <w:tcPr/>
          <w:p>
            <w:pPr>
              <w:pStyle w:val="Compact"/>
              <w:jc w:val="left"/>
            </w:pPr>
            <w:r>
              <w:t xml:space="preserve">Chicago, IL</w:t>
            </w:r>
          </w:p>
        </w:tc>
        <w:tc>
          <w:tcPr/>
          <w:p>
            <w:pPr>
              <w:pStyle w:val="Compact"/>
              <w:jc w:val="left"/>
            </w:pPr>
            <w:r>
              <w:t xml:space="preserve">Industrial electrical services including generator work</w:t>
            </w:r>
          </w:p>
        </w:tc>
      </w:tr>
      <w:tr>
        <w:tc>
          <w:tcPr/>
          <w:p>
            <w:pPr>
              <w:pStyle w:val="Compact"/>
              <w:jc w:val="left"/>
            </w:pPr>
            <w:r>
              <w:t xml:space="preserve">Trusted Power Systems</w:t>
            </w:r>
          </w:p>
        </w:tc>
        <w:tc>
          <w:tcPr/>
          <w:p>
            <w:pPr>
              <w:pStyle w:val="Compact"/>
              <w:jc w:val="left"/>
            </w:pPr>
            <w:r>
              <w:t xml:space="preserve">Chicago, IL</w:t>
            </w:r>
          </w:p>
        </w:tc>
        <w:tc>
          <w:tcPr/>
          <w:p>
            <w:pPr>
              <w:pStyle w:val="Compact"/>
              <w:jc w:val="left"/>
            </w:pPr>
            <w:r>
              <w:t xml:space="preserve">Authorized Cummins, Generac, Kohler, Briggs &amp; Stratton, GE dealer; 6 kW–1 MW coverage; full-service 24/7</w:t>
            </w:r>
          </w:p>
        </w:tc>
      </w:tr>
      <w:tr>
        <w:tc>
          <w:tcPr/>
          <w:p>
            <w:pPr>
              <w:pStyle w:val="Compact"/>
              <w:jc w:val="left"/>
            </w:pPr>
            <w:r>
              <w:t xml:space="preserve">Earthsafe / Precision Filtration / Iowa Central Fuel Testing Laboratory</w:t>
            </w:r>
          </w:p>
        </w:tc>
        <w:tc>
          <w:tcPr/>
          <w:p>
            <w:pPr>
              <w:pStyle w:val="Compact"/>
              <w:jc w:val="left"/>
            </w:pPr>
            <w:r>
              <w:t xml:space="preserve">Regional / national</w:t>
            </w:r>
          </w:p>
        </w:tc>
        <w:tc>
          <w:tcPr/>
          <w:p>
            <w:pPr>
              <w:pStyle w:val="Compact"/>
              <w:jc w:val="left"/>
            </w:pPr>
            <w:r>
              <w:t xml:space="preserve">Fuel polishing, ASTM D975 laboratory analysis, NFPA 110 §8.3.7 compliance — potential subcontract partners</w:t>
            </w:r>
          </w:p>
        </w:tc>
      </w:tr>
    </w:tbl>
    <w:bookmarkStart w:id="33" w:name="X740406c8da16184d4e9ba3591edacb9db9cfff3"/>
    <w:p>
      <w:pPr>
        <w:pStyle w:val="Heading2"/>
      </w:pPr>
      <w:r>
        <w:t xml:space="preserve">Diversity Certification Verification Required</w:t>
      </w:r>
    </w:p>
    <w:p>
      <w:pPr>
        <w:pStyle w:val="FirstParagraph"/>
      </w:pPr>
      <w:r>
        <w:t xml:space="preserve">All vendors in the qualified pool — and any proposed subcontractors — must be verified in the official directories before award. The bold lead-ins identify each authoritative directory:</w:t>
      </w:r>
    </w:p>
    <w:p>
      <w:pPr>
        <w:numPr>
          <w:ilvl w:val="0"/>
          <w:numId w:val="1007"/>
        </w:numPr>
        <w:pStyle w:val="Compact"/>
      </w:pPr>
      <w:r>
        <w:rPr>
          <w:bCs/>
          <w:b/>
        </w:rPr>
        <w:t xml:space="preserve">City of Chicago M/WBE Directory</w:t>
      </w:r>
      <w:r>
        <w:t xml:space="preserve"> </w:t>
      </w:r>
      <w:r>
        <w:t xml:space="preserve">— https://chicago.mwdbe.com — the primary source for MBE, WBE, and BEPD certifications recognized by the City of Chicago.</w:t>
      </w:r>
    </w:p>
    <w:p>
      <w:pPr>
        <w:numPr>
          <w:ilvl w:val="0"/>
          <w:numId w:val="1007"/>
        </w:numPr>
        <w:pStyle w:val="Compact"/>
      </w:pPr>
      <w:r>
        <w:rPr>
          <w:bCs/>
          <w:b/>
        </w:rPr>
        <w:t xml:space="preserve">Illinois Unified Certification Program (UCP) Directory</w:t>
      </w:r>
      <w:r>
        <w:t xml:space="preserve"> </w:t>
      </w:r>
      <w:r>
        <w:t xml:space="preserve">— https://webapps.dot.illinois.gov/UCP/ExternalSearch — the authoritative source for Disadvantaged Business Enterprise (DBE) certifications for federally funded scopes.</w:t>
      </w:r>
    </w:p>
    <w:p>
      <w:pPr>
        <w:numPr>
          <w:ilvl w:val="0"/>
          <w:numId w:val="1007"/>
        </w:numPr>
        <w:pStyle w:val="Compact"/>
      </w:pPr>
      <w:r>
        <w:rPr>
          <w:bCs/>
          <w:b/>
        </w:rPr>
        <w:t xml:space="preserve">Cook County Certified Vendors</w:t>
      </w:r>
      <w:r>
        <w:t xml:space="preserve"> </w:t>
      </w:r>
      <w:r>
        <w:t xml:space="preserve">— https://cookcountyil.gov/service/search-certified-vendors — Cook County certifications, useful when joint procurement with Cook County is considered.</w:t>
      </w:r>
    </w:p>
    <w:p>
      <w:pPr>
        <w:pStyle w:val="FirstParagraph"/>
      </w:pPr>
      <w:r>
        <w:rPr>
          <w:bCs/>
          <w:b/>
        </w:rPr>
        <w:t xml:space="preserve">CRITICAL ACTION ITEM:</w:t>
      </w:r>
      <w:r>
        <w:t xml:space="preserve"> </w:t>
      </w:r>
      <w:r>
        <w:t xml:space="preserve">No vendor, prime or subcontractor, may be credited toward the MBE/WBE/DBE/BEPD participation goals on this solicitation without a current, active certification in the applicable directory as of the bid-opening date. The Department of Procurement Services Compliance unit must run the verification — a self-certification by the vendor is not sufficient. The verification must be memorialized in the contract file before award.</w:t>
      </w:r>
    </w:p>
    <w:p>
      <w:r>
        <w:pict>
          <v:rect style="width:0;height:1.5pt" o:hralign="center" o:hrstd="t" o:hr="t"/>
        </w:pict>
      </w:r>
    </w:p>
    <w:bookmarkEnd w:id="33"/>
    <w:bookmarkEnd w:id="34"/>
    <w:bookmarkStart w:id="42" w:name="X9745ee6d5563ad3291ffed65c9460402ec5e063"/>
    <w:p>
      <w:pPr>
        <w:pStyle w:val="Heading1"/>
      </w:pPr>
      <w:r>
        <w:t xml:space="preserve">SECTION 5: PHASE 4 — STRATEGIC ANALYSIS &amp; PROCUREMENT METHOD RECOMMENDATION</w:t>
      </w:r>
    </w:p>
    <w:bookmarkStart w:id="35" w:name="strategic-analysis"/>
    <w:p>
      <w:pPr>
        <w:pStyle w:val="Heading2"/>
      </w:pPr>
      <w:r>
        <w:t xml:space="preserve">Strategic Analysis</w:t>
      </w:r>
    </w:p>
    <w:p>
      <w:pPr>
        <w:pStyle w:val="FirstParagraph"/>
      </w:pPr>
      <w:r>
        <w:t xml:space="preserve">Emergency generator maintenance is a scope where three factors determine the right procurement method: (1) the service is life-safety, and sole-price-based selection is a poor fit for life-safety services; (2) the underlying equipment fleet is multi-brand, which rules out any single-OEM-authorized solution unless the City accepts fleet fragmentation or deliberate vendor consolidation risk; and (3) response-time SLAs, parts depth, and NFPA 110-compliant testing credentials vary meaningfully between vendors and directly affect the City’s exposure to a failed emergency run at a 911/311 center, a firehouse, a pumping station, or a shelter. The right answer is therefore a best-value competitive selection.</w:t>
      </w:r>
    </w:p>
    <w:p>
      <w:pPr>
        <w:pStyle w:val="BodyText"/>
      </w:pPr>
      <w:r>
        <w:t xml:space="preserve">Bundling vs. unbundling deserves special attention. A single citywide award maximizes administrative efficiency and contract-management simplicity but concentrates risk and limits MBE/WBE participation. A multi-lot award structured by OEM brand (Caterpillar lot, Cummins lot, Kohler/Generac/other lot) or by geography (North/South/Central) preserves competition, enables MBE/WBE prime bidding on at least one lot, and avoids forcing a Cat-only dealer to subcontract Cummins work or vice versa. The recommended posture is</w:t>
      </w:r>
      <w:r>
        <w:t xml:space="preserve"> </w:t>
      </w:r>
      <w:r>
        <w:rPr>
          <w:bCs/>
          <w:b/>
        </w:rPr>
        <w:t xml:space="preserve">unbundling into 2–3 lots</w:t>
      </w:r>
      <w:r>
        <w:t xml:space="preserve"> </w:t>
      </w:r>
      <w:r>
        <w:t xml:space="preserve">with a preference structure that allows one prime to bid all lots but prevents any single prime from winning all lots without a compelling best-value case.</w:t>
      </w:r>
    </w:p>
    <w:p>
      <w:pPr>
        <w:pStyle w:val="BodyText"/>
      </w:pPr>
      <w:r>
        <w:rPr>
          <w:bCs/>
          <w:b/>
        </w:rPr>
        <w:t xml:space="preserve">RECOMMENDATION:</w:t>
      </w:r>
      <w:r>
        <w:t xml:space="preserve"> </w:t>
      </w:r>
      <w:r>
        <w:t xml:space="preserve">Issue a Request for Proposals (RFP) for Emergency Generator Preventive Maintenance, Testing, and Emergency Repair Services, structured as a 3-year base term with two 1-year option renewals, awarded in lots on a best-value basis. Where a continuity-of-service bridge is needed before the RFP award, use a cooperative piggyback under Sourcewell 092222-CAT (Caterpillar fleet) or Sourcewell 120617-CMM (Cummins fleet) pursuant to MCC § 2-92-600.</w:t>
      </w:r>
    </w:p>
    <w:bookmarkEnd w:id="35"/>
    <w:bookmarkStart w:id="36" w:name="rationale"/>
    <w:p>
      <w:pPr>
        <w:pStyle w:val="Heading2"/>
      </w:pPr>
      <w:r>
        <w:t xml:space="preserve">Rationale</w:t>
      </w:r>
    </w:p>
    <w:p>
      <w:pPr>
        <w:numPr>
          <w:ilvl w:val="0"/>
          <w:numId w:val="1008"/>
        </w:numPr>
        <w:pStyle w:val="Compact"/>
      </w:pPr>
      <w:r>
        <w:rPr>
          <w:bCs/>
          <w:b/>
        </w:rPr>
        <w:t xml:space="preserve">Life-Safety Risk Profile:</w:t>
      </w:r>
      <w:r>
        <w:t xml:space="preserve"> </w:t>
      </w:r>
      <w:r>
        <w:t xml:space="preserve">Emergency generators support 911 communications, fire stations, pumping stations, and shelters. A low-bid award that selects an under-qualified provider creates unacceptable exposure.</w:t>
      </w:r>
    </w:p>
    <w:p>
      <w:pPr>
        <w:numPr>
          <w:ilvl w:val="0"/>
          <w:numId w:val="1008"/>
        </w:numPr>
        <w:pStyle w:val="Compact"/>
      </w:pPr>
      <w:r>
        <w:rPr>
          <w:bCs/>
          <w:b/>
        </w:rPr>
        <w:t xml:space="preserve">Multi-Brand Fleet Reality:</w:t>
      </w:r>
      <w:r>
        <w:t xml:space="preserve"> </w:t>
      </w:r>
      <w:r>
        <w:t xml:space="preserve">The City’s fleet includes Caterpillar, Cummins, Kohler, Generac, and other OEMs. A single-award IFB would force cross-brand service that sacrifices OEM warranty and parts responsiveness.</w:t>
      </w:r>
    </w:p>
    <w:p>
      <w:pPr>
        <w:numPr>
          <w:ilvl w:val="0"/>
          <w:numId w:val="1008"/>
        </w:numPr>
        <w:pStyle w:val="Compact"/>
      </w:pPr>
      <w:r>
        <w:rPr>
          <w:bCs/>
          <w:b/>
        </w:rPr>
        <w:t xml:space="preserve">NFPA and EPA Compliance Is Non-Negotiable:</w:t>
      </w:r>
      <w:r>
        <w:t xml:space="preserve"> </w:t>
      </w:r>
      <w:r>
        <w:t xml:space="preserve">Vendor selection must consider NFPA 110 Chapter 8 maintenance credentials, RICE NESHAP recordkeeping competence, and IEPA permit-compliance experience — none of which is measurable by price alone.</w:t>
      </w:r>
    </w:p>
    <w:p>
      <w:pPr>
        <w:numPr>
          <w:ilvl w:val="0"/>
          <w:numId w:val="1008"/>
        </w:numPr>
        <w:pStyle w:val="Compact"/>
      </w:pPr>
      <w:r>
        <w:rPr>
          <w:bCs/>
          <w:b/>
        </w:rPr>
        <w:t xml:space="preserve">M/WBE Alignment:</w:t>
      </w:r>
      <w:r>
        <w:t xml:space="preserve"> </w:t>
      </w:r>
      <w:r>
        <w:t xml:space="preserve">An RFP allows the City to weight the M/WBE subcontracting plan as a scored evaluation factor; an IFB cannot. Lot-based award structure materially increases prime M/WBE participation opportunity.</w:t>
      </w:r>
    </w:p>
    <w:p>
      <w:pPr>
        <w:numPr>
          <w:ilvl w:val="0"/>
          <w:numId w:val="1008"/>
        </w:numPr>
        <w:pStyle w:val="Compact"/>
      </w:pPr>
      <w:r>
        <w:rPr>
          <w:bCs/>
          <w:b/>
        </w:rPr>
        <w:t xml:space="preserve">Cooperative Fallback Is Legally Defensible:</w:t>
      </w:r>
      <w:r>
        <w:t xml:space="preserve"> </w:t>
      </w:r>
      <w:r>
        <w:t xml:space="preserve">MCC § 2-92-600 authorizes joint procurement. Sourcewell competitively solicits and publicly awards contracts using applicable procurement laws. This provides a compliant bridge if the RFP timeline slips.</w:t>
      </w:r>
    </w:p>
    <w:p>
      <w:pPr>
        <w:numPr>
          <w:ilvl w:val="0"/>
          <w:numId w:val="1008"/>
        </w:numPr>
        <w:pStyle w:val="Compact"/>
      </w:pPr>
      <w:r>
        <w:rPr>
          <w:bCs/>
          <w:b/>
        </w:rPr>
        <w:t xml:space="preserve">Best-Value Scoring Aligns With Chicago’s Existing Practice:</w:t>
      </w:r>
      <w:r>
        <w:t xml:space="preserve"> </w:t>
      </w:r>
      <w:r>
        <w:t xml:space="preserve">RFPs are an authorized procurement type under MCC Chapter 2-92 and are the city’s standard vehicle for services where capability materially differs among bidders.</w:t>
      </w:r>
    </w:p>
    <w:bookmarkEnd w:id="36"/>
    <w:bookmarkStart w:id="37" w:name="key-evaluation-criteria"/>
    <w:p>
      <w:pPr>
        <w:pStyle w:val="Heading2"/>
      </w:pPr>
      <w:r>
        <w:t xml:space="preserve">Key Evaluation Criteria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Weight</w:t>
            </w:r>
          </w:p>
        </w:tc>
        <w:tc>
          <w:tcPr/>
          <w:p>
            <w:pPr>
              <w:pStyle w:val="Compact"/>
              <w:jc w:val="left"/>
            </w:pPr>
            <w:r>
              <w:rPr>
                <w:bCs/>
                <w:b/>
              </w:rPr>
              <w:t xml:space="preserve">Evaluation Focus</w:t>
            </w:r>
          </w:p>
        </w:tc>
      </w:tr>
      <w:tr>
        <w:tc>
          <w:tcPr/>
          <w:p>
            <w:pPr>
              <w:pStyle w:val="Compact"/>
              <w:jc w:val="left"/>
            </w:pPr>
            <w:r>
              <w:t xml:space="preserve">Technical Capability and OEM Authorization</w:t>
            </w:r>
          </w:p>
        </w:tc>
        <w:tc>
          <w:tcPr/>
          <w:p>
            <w:pPr>
              <w:pStyle w:val="Compact"/>
              <w:jc w:val="left"/>
            </w:pPr>
            <w:r>
              <w:t xml:space="preserve">25%</w:t>
            </w:r>
          </w:p>
        </w:tc>
        <w:tc>
          <w:tcPr/>
          <w:p>
            <w:pPr>
              <w:pStyle w:val="Compact"/>
              <w:jc w:val="left"/>
            </w:pPr>
            <w:r>
              <w:t xml:space="preserve">Proof of current OEM authorization by brand lot; technician certifications (EGSA, Cat, Cummins, Kohler, Generac factory training); NFPA 110 program competence</w:t>
            </w:r>
          </w:p>
        </w:tc>
      </w:tr>
      <w:tr>
        <w:tc>
          <w:tcPr/>
          <w:p>
            <w:pPr>
              <w:pStyle w:val="Compact"/>
              <w:jc w:val="left"/>
            </w:pPr>
            <w:r>
              <w:t xml:space="preserve">Response Time and 24/7 Coverage Plan</w:t>
            </w:r>
          </w:p>
        </w:tc>
        <w:tc>
          <w:tcPr/>
          <w:p>
            <w:pPr>
              <w:pStyle w:val="Compact"/>
              <w:jc w:val="left"/>
            </w:pPr>
            <w:r>
              <w:t xml:space="preserve">15%</w:t>
            </w:r>
          </w:p>
        </w:tc>
        <w:tc>
          <w:tcPr/>
          <w:p>
            <w:pPr>
              <w:pStyle w:val="Compact"/>
              <w:jc w:val="left"/>
            </w:pPr>
            <w:r>
              <w:t xml:space="preserve">Committed SLA for emergency response (target: ≤2 hours for critical sites, ≤4 hours for standard); geographic coverage; on-call roster size; parts depot proximity</w:t>
            </w:r>
          </w:p>
        </w:tc>
      </w:tr>
      <w:tr>
        <w:tc>
          <w:tcPr/>
          <w:p>
            <w:pPr>
              <w:pStyle w:val="Compact"/>
              <w:jc w:val="left"/>
            </w:pPr>
            <w:r>
              <w:t xml:space="preserve">Price</w:t>
            </w:r>
          </w:p>
        </w:tc>
        <w:tc>
          <w:tcPr/>
          <w:p>
            <w:pPr>
              <w:pStyle w:val="Compact"/>
              <w:jc w:val="left"/>
            </w:pPr>
            <w:r>
              <w:t xml:space="preserve">25%</w:t>
            </w:r>
          </w:p>
        </w:tc>
        <w:tc>
          <w:tcPr/>
          <w:p>
            <w:pPr>
              <w:pStyle w:val="Compact"/>
              <w:jc w:val="left"/>
            </w:pPr>
            <w:r>
              <w:t xml:space="preserve">PM visit unit pricing, time-and-materials (T&amp;M) hourly rates (regular, after-hours, weekend, holiday), load bank test pricing per kW tier, fuel polishing unit pricing, mobilization fees</w:t>
            </w:r>
          </w:p>
        </w:tc>
      </w:tr>
      <w:tr>
        <w:tc>
          <w:tcPr/>
          <w:p>
            <w:pPr>
              <w:pStyle w:val="Compact"/>
              <w:jc w:val="left"/>
            </w:pPr>
            <w:r>
              <w:t xml:space="preserve">M/WBE Participation Plan</w:t>
            </w:r>
          </w:p>
        </w:tc>
        <w:tc>
          <w:tcPr/>
          <w:p>
            <w:pPr>
              <w:pStyle w:val="Compact"/>
              <w:jc w:val="left"/>
            </w:pPr>
            <w:r>
              <w:t xml:space="preserve">15%</w:t>
            </w:r>
          </w:p>
        </w:tc>
        <w:tc>
          <w:tcPr/>
          <w:p>
            <w:pPr>
              <w:pStyle w:val="Compact"/>
              <w:jc w:val="left"/>
            </w:pPr>
            <w:r>
              <w:t xml:space="preserve">Prime status and/or validated subcontracting plan meeting or exceeding the 26% MBE / 6% WBE contract-specific goals per MCC § 2-92-420 et seq.</w:t>
            </w:r>
          </w:p>
        </w:tc>
      </w:tr>
      <w:tr>
        <w:tc>
          <w:tcPr/>
          <w:p>
            <w:pPr>
              <w:pStyle w:val="Compact"/>
              <w:jc w:val="left"/>
            </w:pPr>
            <w:r>
              <w:t xml:space="preserve">Quality Management, Safety, and Compliance</w:t>
            </w:r>
          </w:p>
        </w:tc>
        <w:tc>
          <w:tcPr/>
          <w:p>
            <w:pPr>
              <w:pStyle w:val="Compact"/>
              <w:jc w:val="left"/>
            </w:pPr>
            <w:r>
              <w:t xml:space="preserve">10%</w:t>
            </w:r>
          </w:p>
        </w:tc>
        <w:tc>
          <w:tcPr/>
          <w:p>
            <w:pPr>
              <w:pStyle w:val="Compact"/>
              <w:jc w:val="left"/>
            </w:pPr>
            <w:r>
              <w:t xml:space="preserve">OSHA 300 logs, Experience Modification Rate (EMR), EPA/IEPA compliance history, NFPA 110 documentation package, reference checks</w:t>
            </w:r>
          </w:p>
        </w:tc>
      </w:tr>
      <w:tr>
        <w:tc>
          <w:tcPr/>
          <w:p>
            <w:pPr>
              <w:pStyle w:val="Compact"/>
              <w:jc w:val="left"/>
            </w:pPr>
            <w:r>
              <w:t xml:space="preserve">Financial Stability and Contract Performance History</w:t>
            </w:r>
          </w:p>
        </w:tc>
        <w:tc>
          <w:tcPr/>
          <w:p>
            <w:pPr>
              <w:pStyle w:val="Compact"/>
              <w:jc w:val="left"/>
            </w:pPr>
            <w:r>
              <w:t xml:space="preserve">10%</w:t>
            </w:r>
          </w:p>
        </w:tc>
        <w:tc>
          <w:tcPr/>
          <w:p>
            <w:pPr>
              <w:pStyle w:val="Compact"/>
              <w:jc w:val="left"/>
            </w:pPr>
            <w:r>
              <w:t xml:space="preserve">D&amp;B / financial statements; prior public-sector contract performance; no active debarment or suspension</w:t>
            </w:r>
          </w:p>
        </w:tc>
      </w:tr>
    </w:tbl>
    <w:bookmarkEnd w:id="37"/>
    <w:bookmarkStart w:id="41" w:name="regulatory-code-compliance"/>
    <w:p>
      <w:pPr>
        <w:pStyle w:val="Heading2"/>
      </w:pPr>
      <w:r>
        <w:t xml:space="preserve">Regulatory Code Compliance</w:t>
      </w:r>
    </w:p>
    <w:bookmarkStart w:id="38" w:name="relevant-code-sections"/>
    <w:p>
      <w:pPr>
        <w:pStyle w:val="Heading3"/>
      </w:pPr>
      <w:r>
        <w:t xml:space="preserve">Relevant Code Sections</w:t>
      </w:r>
    </w:p>
    <w:p>
      <w:pPr>
        <w:pStyle w:val="FirstParagraph"/>
      </w:pPr>
      <w:r>
        <w:t xml:space="preserve">Under the</w:t>
      </w:r>
      <w:r>
        <w:t xml:space="preserve"> </w:t>
      </w:r>
      <w:r>
        <w:rPr>
          <w:bCs/>
          <w:b/>
        </w:rPr>
        <w:t xml:space="preserve">Chicago Municipal Code</w:t>
      </w:r>
      <w:r>
        <w:t xml:space="preserve">, the following provisions apply to this solicitation:</w:t>
      </w:r>
    </w:p>
    <w:p>
      <w:pPr>
        <w:numPr>
          <w:ilvl w:val="0"/>
          <w:numId w:val="1009"/>
        </w:numPr>
        <w:pStyle w:val="Compact"/>
      </w:pPr>
      <w:r>
        <w:rPr>
          <w:bCs/>
          <w:b/>
        </w:rPr>
        <w:t xml:space="preserve">MCC § 2-92-040</w:t>
      </w:r>
      <w:r>
        <w:t xml:space="preserve"> </w:t>
      </w:r>
      <w:r>
        <w:t xml:space="preserve">— Contracts for supplies, materials, equipment and services; authorizes the Chief Procurement Officer to let contracts and governs the general procurement authority.</w:t>
      </w:r>
    </w:p>
    <w:p>
      <w:pPr>
        <w:numPr>
          <w:ilvl w:val="0"/>
          <w:numId w:val="1009"/>
        </w:numPr>
        <w:pStyle w:val="Compact"/>
      </w:pPr>
      <w:r>
        <w:rPr>
          <w:bCs/>
          <w:b/>
        </w:rPr>
        <w:t xml:space="preserve">MCC § 2-92-100 through § 2-92-200 series</w:t>
      </w:r>
      <w:r>
        <w:t xml:space="preserve"> </w:t>
      </w:r>
      <w:r>
        <w:t xml:space="preserve">— Procurement Fundamentals; defines procurement methods including competitive bidding (IFB), Requests for Proposals (RFP), Requests for Qualifications (RFQ), Small Orders, Job Order Contracts (JOC), and Non-Competitive procurement.</w:t>
      </w:r>
    </w:p>
    <w:p>
      <w:pPr>
        <w:numPr>
          <w:ilvl w:val="0"/>
          <w:numId w:val="1009"/>
        </w:numPr>
        <w:pStyle w:val="Compact"/>
      </w:pPr>
      <w:r>
        <w:rPr>
          <w:bCs/>
          <w:b/>
        </w:rPr>
        <w:t xml:space="preserve">MCC § 2-92-410 through § 2-92-440 (MBE/WBE Program)</w:t>
      </w:r>
      <w:r>
        <w:t xml:space="preserve"> </w:t>
      </w:r>
      <w:r>
        <w:t xml:space="preserve">— Establishes the citywide 26% MBE and 6% WBE participation aspirational goal and the contract-specific goal-setting process that will govern the solicitation.</w:t>
      </w:r>
    </w:p>
    <w:p>
      <w:pPr>
        <w:numPr>
          <w:ilvl w:val="0"/>
          <w:numId w:val="1009"/>
        </w:numPr>
        <w:pStyle w:val="Compact"/>
      </w:pPr>
      <w:r>
        <w:rPr>
          <w:bCs/>
          <w:b/>
        </w:rPr>
        <w:t xml:space="preserve">MCC § 2-92-412</w:t>
      </w:r>
      <w:r>
        <w:t xml:space="preserve"> </w:t>
      </w:r>
      <w:r>
        <w:t xml:space="preserve">— Bid preference for city-based businesses.</w:t>
      </w:r>
    </w:p>
    <w:p>
      <w:pPr>
        <w:numPr>
          <w:ilvl w:val="0"/>
          <w:numId w:val="1009"/>
        </w:numPr>
        <w:pStyle w:val="Compact"/>
      </w:pPr>
      <w:r>
        <w:rPr>
          <w:bCs/>
          <w:b/>
        </w:rPr>
        <w:t xml:space="preserve">MCC § 2-92-600</w:t>
      </w:r>
      <w:r>
        <w:t xml:space="preserve"> </w:t>
      </w:r>
      <w:r>
        <w:t xml:space="preserve">— Joint procurement; authorizes the use of cooperative contracts with other governmental units, which is the legal basis for piggybacking Sourcewell awards.</w:t>
      </w:r>
    </w:p>
    <w:p>
      <w:pPr>
        <w:numPr>
          <w:ilvl w:val="0"/>
          <w:numId w:val="1009"/>
        </w:numPr>
        <w:pStyle w:val="Compact"/>
      </w:pPr>
      <w:r>
        <w:rPr>
          <w:bCs/>
          <w:b/>
        </w:rPr>
        <w:t xml:space="preserve">MCC § 2-92-617</w:t>
      </w:r>
      <w:r>
        <w:t xml:space="preserve"> </w:t>
      </w:r>
      <w:r>
        <w:t xml:space="preserve">— Competitive bidding contracts with multiple vendors; authorizes multi-vendor award structures that support the lot-based strategy recommended above.</w:t>
      </w:r>
    </w:p>
    <w:p>
      <w:pPr>
        <w:numPr>
          <w:ilvl w:val="0"/>
          <w:numId w:val="1009"/>
        </w:numPr>
        <w:pStyle w:val="Compact"/>
      </w:pPr>
      <w:r>
        <w:rPr>
          <w:bCs/>
          <w:b/>
        </w:rPr>
        <w:t xml:space="preserve">Non-Competitive Review Board (NCRB) process</w:t>
      </w:r>
      <w:r>
        <w:t xml:space="preserve"> </w:t>
      </w:r>
      <w:r>
        <w:t xml:space="preserve">under the Chief Procurement Officer’s published rules — governs any sole-source or emergency award. NCRB applications must be posted for three weeks before board consideration.</w:t>
      </w:r>
    </w:p>
    <w:p>
      <w:pPr>
        <w:numPr>
          <w:ilvl w:val="0"/>
          <w:numId w:val="1009"/>
        </w:numPr>
        <w:pStyle w:val="Compact"/>
      </w:pPr>
      <w:r>
        <w:rPr>
          <w:bCs/>
          <w:b/>
        </w:rPr>
        <w:t xml:space="preserve">MCC Title 14E, Section 14E-7-700 (Emergency Systems)</w:t>
      </w:r>
      <w:r>
        <w:t xml:space="preserve"> </w:t>
      </w:r>
      <w:r>
        <w:t xml:space="preserve">and the Chicago Building Code — require UL 2200 listing for stationary emergency and standby generators; set the annual witnessed load test requirement (historically cited as § 18-27-701.35 before the 2018 migration of the electrical code to Title 14E).</w:t>
      </w:r>
    </w:p>
    <w:p>
      <w:pPr>
        <w:numPr>
          <w:ilvl w:val="0"/>
          <w:numId w:val="1009"/>
        </w:numPr>
        <w:pStyle w:val="Compact"/>
      </w:pPr>
      <w:r>
        <w:rPr>
          <w:bCs/>
          <w:b/>
        </w:rPr>
        <w:t xml:space="preserve">Illinois Municipal Purchasing Act</w:t>
      </w:r>
      <w:r>
        <w:t xml:space="preserve"> </w:t>
      </w:r>
      <w:r>
        <w:t xml:space="preserve">— the state statutory framework within which MCC Chapter 2-92 operates.</w:t>
      </w:r>
    </w:p>
    <w:bookmarkEnd w:id="38"/>
    <w:bookmarkStart w:id="39" w:name="alignment-analysis"/>
    <w:p>
      <w:pPr>
        <w:pStyle w:val="Heading3"/>
      </w:pPr>
      <w:r>
        <w:t xml:space="preserve">Alignment Analysis</w:t>
      </w:r>
    </w:p>
    <w:p>
      <w:pPr>
        <w:pStyle w:val="FirstParagraph"/>
      </w:pPr>
      <w:r>
        <w:t xml:space="preserve">An RFP issued under MCC § 2-92 with MBE/WBE goals set under § 2-92-420 et seq. and awarded on a best-value basis is fully aligned with the Chicago Municipal Code. The recommended multi-vendor lot structure is explicitly authorized by § 2-92-617. The recommended Sourcewell bridge vehicle is authorized by § 2-92-600. The required annual witnessed full-load test (MCC Title 14E and the Chicago Building Code) must be written into the scope of work and reflected in the vendor’s pricing schedule. All vendors proposed for award must clear NCRB review if the path is non-competitive for any lot.</w:t>
      </w:r>
    </w:p>
    <w:bookmarkEnd w:id="39"/>
    <w:bookmarkStart w:id="40" w:name="conflicts-and-justification"/>
    <w:p>
      <w:pPr>
        <w:pStyle w:val="Heading3"/>
      </w:pPr>
      <w:r>
        <w:t xml:space="preserve">Conflicts and Justification</w:t>
      </w:r>
    </w:p>
    <w:p>
      <w:pPr>
        <w:pStyle w:val="FirstParagraph"/>
      </w:pPr>
      <w:r>
        <w:t xml:space="preserve">No material conflicts exist between the recommended RFP method and the Chicago Municipal Code. The only circumstance that would require a documented deviation is an emergency award under MCC § 2-92-040 for a single failed generator exceeding $500,000 — a circumstance outside the scope of this routine-maintenance solicitation. If the City chooses to use a sole-source award for a single-OEM-fleet segment on the grounds that only one authorized dealer exists in the service territory (e.g., Cat fleet in Northern Illinois served only by Altorfer), that deviation must be justified to the NCRB with a documented market-search record; a cooperative piggyback under § 2-92-600 is generally a cleaner path than a sole-source determination.</w:t>
      </w:r>
    </w:p>
    <w:p>
      <w:r>
        <w:pict>
          <v:rect style="width:0;height:1.5pt" o:hralign="center" o:hrstd="t" o:hr="t"/>
        </w:pict>
      </w:r>
    </w:p>
    <w:bookmarkEnd w:id="40"/>
    <w:bookmarkEnd w:id="41"/>
    <w:bookmarkEnd w:id="42"/>
    <w:bookmarkStart w:id="47" w:name="section-6-next-steps-recommendations"/>
    <w:p>
      <w:pPr>
        <w:pStyle w:val="Heading1"/>
      </w:pPr>
      <w:r>
        <w:t xml:space="preserve">SECTION 6: NEXT STEPS &amp; RECOMMENDATIONS</w:t>
      </w:r>
    </w:p>
    <w:bookmarkStart w:id="43" w:name="immediate-actions"/>
    <w:p>
      <w:pPr>
        <w:pStyle w:val="Heading2"/>
      </w:pPr>
      <w:r>
        <w:t xml:space="preserve">Immediate Actions</w:t>
      </w:r>
    </w:p>
    <w:p>
      <w:pPr>
        <w:numPr>
          <w:ilvl w:val="0"/>
          <w:numId w:val="1010"/>
        </w:numPr>
        <w:pStyle w:val="Compact"/>
      </w:pPr>
      <w:r>
        <w:t xml:space="preserve">Direct user departments to validate the citywide inventory of emergency generators (make, model, kW, fuel, NFPA level, install year, last load bank date, current service vendor) and reconcile to the asset management system within 30 days.</w:t>
      </w:r>
    </w:p>
    <w:p>
      <w:pPr>
        <w:numPr>
          <w:ilvl w:val="0"/>
          <w:numId w:val="1010"/>
        </w:numPr>
        <w:pStyle w:val="Compact"/>
      </w:pPr>
      <w:r>
        <w:t xml:space="preserve">Issue a Request for Information (RFI) to the qualified vendor pool to confirm current capacity, response-time commitments, and interest in lot-based participation. The RFI doubles as price-discovery for the Independent Government Cost Estimate (IGCE).</w:t>
      </w:r>
    </w:p>
    <w:p>
      <w:pPr>
        <w:numPr>
          <w:ilvl w:val="0"/>
          <w:numId w:val="1010"/>
        </w:numPr>
        <w:pStyle w:val="Compact"/>
      </w:pPr>
      <w:r>
        <w:t xml:space="preserve">Initiate the MBE/WBE contract-specific goal-setting review with the DPS Office of Business Diversity and Economic Inclusion.</w:t>
      </w:r>
    </w:p>
    <w:p>
      <w:pPr>
        <w:numPr>
          <w:ilvl w:val="0"/>
          <w:numId w:val="1010"/>
        </w:numPr>
        <w:pStyle w:val="Compact"/>
      </w:pPr>
      <w:r>
        <w:t xml:space="preserve">Pre-screen all Tier 1 and Tier 2 vendors against the City M/WBE Directory, Illinois UCP Directory, and Cook County Certified Vendors database; capture debarment/suspension status from SAM.gov and the Illinois Procurement Bulletin.</w:t>
      </w:r>
    </w:p>
    <w:p>
      <w:pPr>
        <w:numPr>
          <w:ilvl w:val="0"/>
          <w:numId w:val="1010"/>
        </w:numPr>
        <w:pStyle w:val="Compact"/>
      </w:pPr>
      <w:r>
        <w:t xml:space="preserve">If immediate bridging service is required for a specific OEM fleet, prepare a MCC § 2-92-600 cooperative piggyback using Sourcewell 092222-CAT or 120617-CMM and submit through the standard joint procurement approval process.</w:t>
      </w:r>
    </w:p>
    <w:bookmarkEnd w:id="43"/>
    <w:bookmarkStart w:id="44" w:name="solicitation-development-recommendations"/>
    <w:p>
      <w:pPr>
        <w:pStyle w:val="Heading2"/>
      </w:pPr>
      <w:r>
        <w:t xml:space="preserve">Solicitation Development Recommendations</w:t>
      </w:r>
    </w:p>
    <w:p>
      <w:pPr>
        <w:numPr>
          <w:ilvl w:val="0"/>
          <w:numId w:val="1011"/>
        </w:numPr>
        <w:pStyle w:val="Compact"/>
      </w:pPr>
      <w:r>
        <w:rPr>
          <w:bCs/>
          <w:b/>
        </w:rPr>
        <w:t xml:space="preserve">Scope of Work</w:t>
      </w:r>
      <w:r>
        <w:t xml:space="preserve"> </w:t>
      </w:r>
      <w:r>
        <w:t xml:space="preserve">— organize by the seven service categories in Section 2; specify NFPA 110 Chapter 8 frequencies as floors, not ceilings; require annual witnessed full-load test per MCC Title 14E; require ASTM D975 laboratory fuel sampling and results reporting per NFPA 110 § 8.3.7; require RICE NESHAP recordkeeping templates.</w:t>
      </w:r>
    </w:p>
    <w:p>
      <w:pPr>
        <w:numPr>
          <w:ilvl w:val="0"/>
          <w:numId w:val="1011"/>
        </w:numPr>
        <w:pStyle w:val="Compact"/>
      </w:pPr>
      <w:r>
        <w:rPr>
          <w:bCs/>
          <w:b/>
        </w:rPr>
        <w:t xml:space="preserve">Pricing Structure</w:t>
      </w:r>
      <w:r>
        <w:t xml:space="preserve"> </w:t>
      </w:r>
      <w:r>
        <w:t xml:space="preserve">— mandate a unit-pricing schedule covering: quarterly and semi-annual PM visits by kW tier; T&amp;M hourly labor rates for regular, after-hours (defined as outside 7:00 a.m.–5:00 p.m. weekdays), weekend, and holiday; mobilization/truck-roll fee; load bank test pricing by kW tier (up to 500 kW, 501–1,000 kW, 1,001–2,000 kW); fuel polishing per gallon or per tank; ATS major maintenance flat rate; parts at a disclosed markup over published OEM list.</w:t>
      </w:r>
    </w:p>
    <w:p>
      <w:pPr>
        <w:numPr>
          <w:ilvl w:val="0"/>
          <w:numId w:val="1011"/>
        </w:numPr>
        <w:pStyle w:val="Compact"/>
      </w:pPr>
      <w:r>
        <w:rPr>
          <w:bCs/>
          <w:b/>
        </w:rPr>
        <w:t xml:space="preserve">Minimum Qualifications</w:t>
      </w:r>
      <w:r>
        <w:t xml:space="preserve"> </w:t>
      </w:r>
      <w:r>
        <w:t xml:space="preserve">— current OEM authorization for each bid lot; Electrical Generating Systems Association (EGSA) technician certifications in the response team; minimum five (5) years in business; active Illinois electrical contractor credentials; OSHA 10 or 30 hour training; current general liability, auto, and workers’ compensation insurance at City limits; EMR at or below 1.0; no active debarment or suspension.</w:t>
      </w:r>
    </w:p>
    <w:p>
      <w:pPr>
        <w:numPr>
          <w:ilvl w:val="0"/>
          <w:numId w:val="1011"/>
        </w:numPr>
        <w:pStyle w:val="Compact"/>
      </w:pPr>
      <w:r>
        <w:rPr>
          <w:bCs/>
          <w:b/>
        </w:rPr>
        <w:t xml:space="preserve">Diversity Goals</w:t>
      </w:r>
      <w:r>
        <w:t xml:space="preserve"> </w:t>
      </w:r>
      <w:r>
        <w:t xml:space="preserve">— set contract-specific MBE participation at 26% and WBE at 6%, consistent with MCC § 2-92-420 series; require a written subcontracting plan and a Schedule C-1 for each credited subcontractor; allow MBE/WBE prime credit for lot wins by certified firms.</w:t>
      </w:r>
    </w:p>
    <w:p>
      <w:pPr>
        <w:numPr>
          <w:ilvl w:val="0"/>
          <w:numId w:val="1011"/>
        </w:numPr>
        <w:pStyle w:val="Compact"/>
      </w:pPr>
      <w:r>
        <w:rPr>
          <w:bCs/>
          <w:b/>
        </w:rPr>
        <w:t xml:space="preserve">Contract Term</w:t>
      </w:r>
      <w:r>
        <w:t xml:space="preserve"> </w:t>
      </w:r>
      <w:r>
        <w:t xml:space="preserve">— base term of three (3) years with two (2) one-year option renewals; annual escalator tied to the Bureau of Labor Statistics Producer Price Index for</w:t>
      </w:r>
      <w:r>
        <w:t xml:space="preserve"> </w:t>
      </w:r>
      <w:r>
        <w:t xml:space="preserve">“</w:t>
      </w:r>
      <w:r>
        <w:t xml:space="preserve">Repair and Maintenance Services</w:t>
      </w:r>
      <w:r>
        <w:t xml:space="preserve">”</w:t>
      </w:r>
      <w:r>
        <w:t xml:space="preserve"> </w:t>
      </w:r>
      <w:r>
        <w:t xml:space="preserve">capped at 3% per year unless justified by OEM parts inflation.</w:t>
      </w:r>
    </w:p>
    <w:p>
      <w:pPr>
        <w:numPr>
          <w:ilvl w:val="0"/>
          <w:numId w:val="1011"/>
        </w:numPr>
        <w:pStyle w:val="Compact"/>
      </w:pPr>
      <w:r>
        <w:rPr>
          <w:bCs/>
          <w:b/>
        </w:rPr>
        <w:t xml:space="preserve">Performance Metrics (SLAs)</w:t>
      </w:r>
      <w:r>
        <w:t xml:space="preserve"> </w:t>
      </w:r>
      <w:r>
        <w:t xml:space="preserve">— emergency response ≤2 hours for critical sites (911, water pumping, fire stations) and ≤4 hours for standard sites; on-time PM visit completion ≥98%; first-call resolution ≥85%; monthly reporting with a citywide dashboard; liquidated damages schedule for missed response windows.</w:t>
      </w:r>
    </w:p>
    <w:bookmarkEnd w:id="44"/>
    <w:bookmarkStart w:id="45" w:name="estimated-market-rates"/>
    <w:p>
      <w:pPr>
        <w:pStyle w:val="Heading2"/>
      </w:pPr>
      <w:r>
        <w:t xml:space="preserve">Estimated Market Rates</w:t>
      </w:r>
    </w:p>
    <w:p>
      <w:pPr>
        <w:pStyle w:val="FirstParagraph"/>
      </w:pPr>
      <w:r>
        <w:t xml:space="preserve">The following market-rate ranges are drawn from published commercial sources and peer agency contracts; final pricing is to be validated by the RFI and subsequent RFP responses. Ranges are U.S. commercial market benchmarks, not Chicago-specific contract pricing.</w:t>
      </w:r>
    </w:p>
    <w:p>
      <w:pPr>
        <w:numPr>
          <w:ilvl w:val="0"/>
          <w:numId w:val="1012"/>
        </w:numPr>
        <w:pStyle w:val="Compact"/>
      </w:pPr>
      <w:r>
        <w:rPr>
          <w:bCs/>
          <w:b/>
        </w:rPr>
        <w:t xml:space="preserve">Semi-annual PM visit, small commercial/industrial generator (under 150 kW):</w:t>
      </w:r>
      <w:r>
        <w:t xml:space="preserve"> </w:t>
      </w:r>
      <w:r>
        <w:t xml:space="preserve">$350–$750 per visit</w:t>
      </w:r>
    </w:p>
    <w:p>
      <w:pPr>
        <w:numPr>
          <w:ilvl w:val="0"/>
          <w:numId w:val="1012"/>
        </w:numPr>
        <w:pStyle w:val="Compact"/>
      </w:pPr>
      <w:r>
        <w:rPr>
          <w:bCs/>
          <w:b/>
        </w:rPr>
        <w:t xml:space="preserve">Quarterly PM visit, 150–500 kW generator:</w:t>
      </w:r>
      <w:r>
        <w:t xml:space="preserve"> </w:t>
      </w:r>
      <w:r>
        <w:t xml:space="preserve">$550–$1,200 per visit</w:t>
      </w:r>
    </w:p>
    <w:p>
      <w:pPr>
        <w:numPr>
          <w:ilvl w:val="0"/>
          <w:numId w:val="1012"/>
        </w:numPr>
        <w:pStyle w:val="Compact"/>
      </w:pPr>
      <w:r>
        <w:rPr>
          <w:bCs/>
          <w:b/>
        </w:rPr>
        <w:t xml:space="preserve">Quarterly PM visit, 500 kW–1 MW generator:</w:t>
      </w:r>
      <w:r>
        <w:t xml:space="preserve"> </w:t>
      </w:r>
      <w:r>
        <w:t xml:space="preserve">$900–$2,000 per visit</w:t>
      </w:r>
    </w:p>
    <w:p>
      <w:pPr>
        <w:numPr>
          <w:ilvl w:val="0"/>
          <w:numId w:val="1012"/>
        </w:numPr>
        <w:pStyle w:val="Compact"/>
      </w:pPr>
      <w:r>
        <w:rPr>
          <w:bCs/>
          <w:b/>
        </w:rPr>
        <w:t xml:space="preserve">T&amp;M labor, regular hours, OEM-authorized technician:</w:t>
      </w:r>
      <w:r>
        <w:t xml:space="preserve"> </w:t>
      </w:r>
      <w:r>
        <w:t xml:space="preserve">$150–$225 per hour</w:t>
      </w:r>
    </w:p>
    <w:p>
      <w:pPr>
        <w:numPr>
          <w:ilvl w:val="0"/>
          <w:numId w:val="1012"/>
        </w:numPr>
        <w:pStyle w:val="Compact"/>
      </w:pPr>
      <w:r>
        <w:rPr>
          <w:bCs/>
          <w:b/>
        </w:rPr>
        <w:t xml:space="preserve">T&amp;M labor, after-hours / weekend / holiday premium:</w:t>
      </w:r>
      <w:r>
        <w:t xml:space="preserve"> </w:t>
      </w:r>
      <w:r>
        <w:t xml:space="preserve">1.5× to 2.0× regular rate</w:t>
      </w:r>
    </w:p>
    <w:p>
      <w:pPr>
        <w:numPr>
          <w:ilvl w:val="0"/>
          <w:numId w:val="1012"/>
        </w:numPr>
        <w:pStyle w:val="Compact"/>
      </w:pPr>
      <w:r>
        <w:rPr>
          <w:bCs/>
          <w:b/>
        </w:rPr>
        <w:t xml:space="preserve">Mobilization / truck roll:</w:t>
      </w:r>
      <w:r>
        <w:t xml:space="preserve"> </w:t>
      </w:r>
      <w:r>
        <w:t xml:space="preserve">$125–$350 per visit outside scheduled PM</w:t>
      </w:r>
    </w:p>
    <w:p>
      <w:pPr>
        <w:numPr>
          <w:ilvl w:val="0"/>
          <w:numId w:val="1012"/>
        </w:numPr>
        <w:pStyle w:val="Compact"/>
      </w:pPr>
      <w:r>
        <w:rPr>
          <w:bCs/>
          <w:b/>
        </w:rPr>
        <w:t xml:space="preserve">Load bank test, up to 500 kW (2–4 hours):</w:t>
      </w:r>
      <w:r>
        <w:t xml:space="preserve"> </w:t>
      </w:r>
      <w:r>
        <w:t xml:space="preserve">$750–$2,500 per test (including mobilization of portable load bank)</w:t>
      </w:r>
    </w:p>
    <w:p>
      <w:pPr>
        <w:numPr>
          <w:ilvl w:val="0"/>
          <w:numId w:val="1012"/>
        </w:numPr>
        <w:pStyle w:val="Compact"/>
      </w:pPr>
      <w:r>
        <w:rPr>
          <w:bCs/>
          <w:b/>
        </w:rPr>
        <w:t xml:space="preserve">Load bank test, 500 kW–1 MW:</w:t>
      </w:r>
      <w:r>
        <w:t xml:space="preserve"> </w:t>
      </w:r>
      <w:r>
        <w:t xml:space="preserve">$1,800–$4,500 per test</w:t>
      </w:r>
    </w:p>
    <w:p>
      <w:pPr>
        <w:numPr>
          <w:ilvl w:val="0"/>
          <w:numId w:val="1012"/>
        </w:numPr>
        <w:pStyle w:val="Compact"/>
      </w:pPr>
      <w:r>
        <w:rPr>
          <w:bCs/>
          <w:b/>
        </w:rPr>
        <w:t xml:space="preserve">Load bank test, 1 MW and above:</w:t>
      </w:r>
      <w:r>
        <w:t xml:space="preserve"> </w:t>
      </w:r>
      <w:r>
        <w:t xml:space="preserve">$3,500–$8,000 per test</w:t>
      </w:r>
    </w:p>
    <w:p>
      <w:pPr>
        <w:numPr>
          <w:ilvl w:val="0"/>
          <w:numId w:val="1012"/>
        </w:numPr>
        <w:pStyle w:val="Compact"/>
      </w:pPr>
      <w:r>
        <w:rPr>
          <w:bCs/>
          <w:b/>
        </w:rPr>
        <w:t xml:space="preserve">ASTM D975 fuel sampling and laboratory analysis:</w:t>
      </w:r>
      <w:r>
        <w:t xml:space="preserve"> </w:t>
      </w:r>
      <w:r>
        <w:t xml:space="preserve">$100–$500 per sample annually</w:t>
      </w:r>
    </w:p>
    <w:p>
      <w:pPr>
        <w:numPr>
          <w:ilvl w:val="0"/>
          <w:numId w:val="1012"/>
        </w:numPr>
        <w:pStyle w:val="Compact"/>
      </w:pPr>
      <w:r>
        <w:rPr>
          <w:bCs/>
          <w:b/>
        </w:rPr>
        <w:t xml:space="preserve">Fuel polishing (mobile, per tank):</w:t>
      </w:r>
      <w:r>
        <w:t xml:space="preserve"> </w:t>
      </w:r>
      <w:r>
        <w:t xml:space="preserve">$0.08–$0.35 per gallon with minimum charge typically $500–$1,200 per event</w:t>
      </w:r>
    </w:p>
    <w:p>
      <w:pPr>
        <w:numPr>
          <w:ilvl w:val="0"/>
          <w:numId w:val="1012"/>
        </w:numPr>
        <w:pStyle w:val="Compact"/>
      </w:pPr>
      <w:r>
        <w:rPr>
          <w:bCs/>
          <w:b/>
        </w:rPr>
        <w:t xml:space="preserve">ATS major maintenance annual service:</w:t>
      </w:r>
      <w:r>
        <w:t xml:space="preserve"> </w:t>
      </w:r>
      <w:r>
        <w:t xml:space="preserve">$400–$900 per ATS (amperage-dependent)</w:t>
      </w:r>
    </w:p>
    <w:p>
      <w:pPr>
        <w:numPr>
          <w:ilvl w:val="0"/>
          <w:numId w:val="1012"/>
        </w:numPr>
        <w:pStyle w:val="Compact"/>
      </w:pPr>
      <w:r>
        <w:rPr>
          <w:bCs/>
          <w:b/>
        </w:rPr>
        <w:t xml:space="preserve">Industrial operations and maintenance, all-in average:</w:t>
      </w:r>
      <w:r>
        <w:t xml:space="preserve"> </w:t>
      </w:r>
      <w:r>
        <w:t xml:space="preserve">approximately $0.005–$0.010 per kWh for diesel reciprocating engine-driven generators</w:t>
      </w:r>
    </w:p>
    <w:p>
      <w:pPr>
        <w:pStyle w:val="FirstParagraph"/>
      </w:pPr>
      <w:r>
        <w:rPr>
          <w:bCs/>
          <w:b/>
        </w:rPr>
        <w:t xml:space="preserve">RECOMMENDATION:</w:t>
      </w:r>
      <w:r>
        <w:t xml:space="preserve"> </w:t>
      </w:r>
      <w:r>
        <w:t xml:space="preserve">Validate pricing against two data sources before award — (a) the two Sourcewell contracts’ published pricing (Sourcewell 092222-CAT and Sourcewell 120617-CMM) and (b) the DCAS citywide requirements contract pricing via CROL disclosure — to establish a defensible Independent Government Cost Estimate and a fair-and-reasonable price determination.</w:t>
      </w:r>
    </w:p>
    <w:bookmarkEnd w:id="45"/>
    <w:bookmarkStart w:id="46" w:name="diversity-outreach-strategy"/>
    <w:p>
      <w:pPr>
        <w:pStyle w:val="Heading2"/>
      </w:pPr>
      <w:r>
        <w:t xml:space="preserve">Diversity Outreach Strategy</w:t>
      </w:r>
    </w:p>
    <w:p>
      <w:pPr>
        <w:numPr>
          <w:ilvl w:val="0"/>
          <w:numId w:val="1013"/>
        </w:numPr>
        <w:pStyle w:val="Compact"/>
      </w:pPr>
      <w:r>
        <w:t xml:space="preserve">Publish the solicitation in the Chicago Defender, La Raza, and Crain’s Chicago Business in addition to standard DPS channels.</w:t>
      </w:r>
    </w:p>
    <w:p>
      <w:pPr>
        <w:numPr>
          <w:ilvl w:val="0"/>
          <w:numId w:val="1013"/>
        </w:numPr>
        <w:pStyle w:val="Compact"/>
      </w:pPr>
      <w:r>
        <w:t xml:space="preserve">Conduct a pre-proposal conference with a dedicated M/WBE networking session and offer to introduce prospective primes to certified subcontractors identified in the three certification directories.</w:t>
      </w:r>
    </w:p>
    <w:p>
      <w:pPr>
        <w:numPr>
          <w:ilvl w:val="0"/>
          <w:numId w:val="1013"/>
        </w:numPr>
        <w:pStyle w:val="Compact"/>
      </w:pPr>
      <w:r>
        <w:t xml:space="preserve">Host a subcontractor opportunity fair for the fuel polishing, ASTM fuel testing, ATS electrical inspection, and parts-delivery tiers of the scope, where the M/WBE opportunity is structurally strongest.</w:t>
      </w:r>
    </w:p>
    <w:p>
      <w:pPr>
        <w:numPr>
          <w:ilvl w:val="0"/>
          <w:numId w:val="1013"/>
        </w:numPr>
        <w:pStyle w:val="Compact"/>
      </w:pPr>
      <w:r>
        <w:t xml:space="preserve">Coordinate with the DPS Office of Business Diversity and Economic Inclusion, the Illinois Department of Transportation UCP program, and Cook County certification staff to cross-publicize the solicitation.</w:t>
      </w:r>
    </w:p>
    <w:p>
      <w:pPr>
        <w:numPr>
          <w:ilvl w:val="0"/>
          <w:numId w:val="1013"/>
        </w:numPr>
        <w:pStyle w:val="Compact"/>
      </w:pPr>
      <w:r>
        <w:t xml:space="preserve">Require all prospective primes to submit a written Good Faith Efforts package if they cannot meet the contract-specific MBE/WBE goals.</w:t>
      </w:r>
    </w:p>
    <w:p>
      <w:r>
        <w:pict>
          <v:rect style="width:0;height:1.5pt" o:hralign="center" o:hrstd="t" o:hr="t"/>
        </w:pict>
      </w:r>
    </w:p>
    <w:bookmarkEnd w:id="46"/>
    <w:bookmarkEnd w:id="47"/>
    <w:bookmarkStart w:id="48" w:name="appendix-a-regulatory-reference"/>
    <w:p>
      <w:pPr>
        <w:pStyle w:val="Heading1"/>
      </w:pPr>
      <w:r>
        <w:t xml:space="preserve">APPENDIX A — REGULATORY REFERENCE</w:t>
      </w:r>
    </w:p>
    <w:p>
      <w:pPr>
        <w:pStyle w:val="FirstParagraph"/>
      </w:pPr>
      <w:r>
        <w:t xml:space="preserve">This appendix collects the primary regulatory instruments governing the scope. It is not an exhaustive compliance manual; it is a pointer for solicitation drafters and contract administrators.</w:t>
      </w:r>
    </w:p>
    <w:p>
      <w:pPr>
        <w:pStyle w:val="BodyText"/>
      </w:pPr>
      <w:r>
        <w:rPr>
          <w:bCs/>
          <w:b/>
        </w:rPr>
        <w:t xml:space="preserve">Fire and Life-Safety Standards</w:t>
      </w:r>
      <w:r>
        <w:t xml:space="preserve"> </w:t>
      </w:r>
      <w:r>
        <w:t xml:space="preserve">- NFPA 110,</w:t>
      </w:r>
      <w:r>
        <w:t xml:space="preserve"> </w:t>
      </w:r>
      <w:r>
        <w:rPr>
          <w:iCs/>
          <w:i/>
        </w:rPr>
        <w:t xml:space="preserve">Standard for Emergency and Standby Power Systems</w:t>
      </w:r>
      <w:r>
        <w:t xml:space="preserve"> </w:t>
      </w:r>
      <w:r>
        <w:t xml:space="preserve">— Chapter 8 (Routine Maintenance and Operational Testing) — the single most important maintenance-program reference; prescribes weekly inspection, monthly load exercise ≥30% nameplate for ≥30 minutes, annual 4-hour load bank test every 36 months for Level 1 systems, annual ATS major maintenance plus three quarterly inspections, annual circuit breaker exercise, and fuel sampling/testing.</w:t>
      </w:r>
      <w:r>
        <w:t xml:space="preserve"> </w:t>
      </w:r>
      <w:r>
        <w:t xml:space="preserve">- NFPA 37,</w:t>
      </w:r>
      <w:r>
        <w:t xml:space="preserve"> </w:t>
      </w:r>
      <w:r>
        <w:rPr>
          <w:iCs/>
          <w:i/>
        </w:rPr>
        <w:t xml:space="preserve">Standard for the Installation and Use of Stationary Combustion Engines and Gas Turbines</w:t>
      </w:r>
      <w:r>
        <w:t xml:space="preserve"> </w:t>
      </w:r>
      <w:r>
        <w:t xml:space="preserve">— fire-safety installation and operation, including separation from structures and enclosure requirements.</w:t>
      </w:r>
      <w:r>
        <w:t xml:space="preserve"> </w:t>
      </w:r>
      <w:r>
        <w:t xml:space="preserve">- NFPA 99,</w:t>
      </w:r>
      <w:r>
        <w:t xml:space="preserve"> </w:t>
      </w:r>
      <w:r>
        <w:rPr>
          <w:iCs/>
          <w:i/>
        </w:rPr>
        <w:t xml:space="preserve">Health Care Facilities Code</w:t>
      </w:r>
      <w:r>
        <w:t xml:space="preserve"> </w:t>
      </w:r>
      <w:r>
        <w:t xml:space="preserve">— applies to any healthcare-adjacent city asset; interacts with NFPA 110 for Essential Electrical Systems.</w:t>
      </w:r>
      <w:r>
        <w:t xml:space="preserve"> </w:t>
      </w:r>
      <w:r>
        <w:t xml:space="preserve">- NFPA 70,</w:t>
      </w:r>
      <w:r>
        <w:t xml:space="preserve"> </w:t>
      </w:r>
      <w:r>
        <w:rPr>
          <w:iCs/>
          <w:i/>
        </w:rPr>
        <w:t xml:space="preserve">National Electrical Code</w:t>
      </w:r>
      <w:r>
        <w:t xml:space="preserve"> </w:t>
      </w:r>
      <w:r>
        <w:t xml:space="preserve">— adopted and amended by the Chicago Electrical Code (MCC Title 14E).</w:t>
      </w:r>
    </w:p>
    <w:p>
      <w:pPr>
        <w:pStyle w:val="BodyText"/>
      </w:pPr>
      <w:r>
        <w:rPr>
          <w:bCs/>
          <w:b/>
        </w:rPr>
        <w:t xml:space="preserve">Federal Environmental Regulation</w:t>
      </w:r>
      <w:r>
        <w:t xml:space="preserve"> </w:t>
      </w:r>
      <w:r>
        <w:t xml:space="preserve">- 40 CFR Part 60 Subpart IIII (NSPS for Stationary Compression Ignition Internal Combustion Engines) and Subpart JJJJ (NSPS for Stationary Spark Ignition Internal Combustion Engines).</w:t>
      </w:r>
      <w:r>
        <w:t xml:space="preserve"> </w:t>
      </w:r>
      <w:r>
        <w:t xml:space="preserve">- 40 CFR Part 63 Subpart ZZZZ (NESHAP / RICE MACT) for Reciprocating Internal Combustion Engines.</w:t>
      </w:r>
      <w:r>
        <w:t xml:space="preserve"> </w:t>
      </w:r>
      <w:r>
        <w:t xml:space="preserve">- EPA Tier 4 Final emissions standards (fully implemented 2015) for non-road and certain stationary engines.</w:t>
      </w:r>
    </w:p>
    <w:p>
      <w:pPr>
        <w:pStyle w:val="BodyText"/>
      </w:pPr>
      <w:r>
        <w:rPr>
          <w:bCs/>
          <w:b/>
        </w:rPr>
        <w:t xml:space="preserve">State Environmental Regulation</w:t>
      </w:r>
      <w:r>
        <w:t xml:space="preserve"> </w:t>
      </w:r>
      <w:r>
        <w:t xml:space="preserve">- 35 Illinois Administrative Code Part 217 (Nitrogen Oxides Emissions) — Illinois EPA-administered air rules applicable to stationary RICE units.</w:t>
      </w:r>
      <w:r>
        <w:t xml:space="preserve"> </w:t>
      </w:r>
      <w:r>
        <w:t xml:space="preserve">- Illinois EPA Registration of Smaller Sources (ROSS) program — available pathway for engines under 1,118 kW (1,500 bhp) not otherwise subject to 35 IAC 217.388(a) or (b).</w:t>
      </w:r>
      <w:r>
        <w:t xml:space="preserve"> </w:t>
      </w:r>
      <w:r>
        <w:t xml:space="preserve">- Illinois EPA Lifetime Operating Permit program — relevant for long-term emergency generator installations.</w:t>
      </w:r>
    </w:p>
    <w:p>
      <w:pPr>
        <w:pStyle w:val="BodyText"/>
      </w:pPr>
      <w:r>
        <w:rPr>
          <w:bCs/>
          <w:b/>
        </w:rPr>
        <w:t xml:space="preserve">Occupational Safety</w:t>
      </w:r>
      <w:r>
        <w:t xml:space="preserve"> </w:t>
      </w:r>
      <w:r>
        <w:t xml:space="preserve">- OSHA 29 CFR Part 1910 — General Industry standards including Electrical (Subpart S), Lockout/Tagout (1910.147), and PPE (Subpart I).</w:t>
      </w:r>
      <w:r>
        <w:t xml:space="preserve"> </w:t>
      </w:r>
      <w:r>
        <w:t xml:space="preserve">- OSHA 29 CFR Part 1926 — Construction standards, applicable where service work involves any construction-category activity.</w:t>
      </w:r>
    </w:p>
    <w:p>
      <w:pPr>
        <w:pStyle w:val="BodyText"/>
      </w:pPr>
      <w:r>
        <w:rPr>
          <w:bCs/>
          <w:b/>
        </w:rPr>
        <w:t xml:space="preserve">Local Regulation</w:t>
      </w:r>
      <w:r>
        <w:t xml:space="preserve"> </w:t>
      </w:r>
      <w:r>
        <w:t xml:space="preserve">- Chicago Municipal Code Title 14E, Section 14E-7-700 (Emergency Systems) — current electrical code provisions for emergency and standby power.</w:t>
      </w:r>
      <w:r>
        <w:t xml:space="preserve"> </w:t>
      </w:r>
      <w:r>
        <w:t xml:space="preserve">- Chicago Municipal Code Title 14B, Chapter 27 — Building Code electrical provisions cross-referenced to Title 14E.</w:t>
      </w:r>
      <w:r>
        <w:t xml:space="preserve"> </w:t>
      </w:r>
      <w:r>
        <w:t xml:space="preserve">- Chicago Municipal Code Chapter 2-92 — Department of Procurement Services.</w:t>
      </w:r>
      <w:r>
        <w:t xml:space="preserve"> </w:t>
      </w:r>
      <w:r>
        <w:t xml:space="preserve">- Cook County Department of Environmental Control air rules — where applicable in Cook County facilities outside the City of Chicago proper.</w:t>
      </w:r>
    </w:p>
    <w:p>
      <w:r>
        <w:pict>
          <v:rect style="width:0;height:1.5pt" o:hralign="center" o:hrstd="t" o:hr="t"/>
        </w:pict>
      </w:r>
    </w:p>
    <w:bookmarkEnd w:id="48"/>
    <w:bookmarkStart w:id="52" w:name="appendix-b-resources"/>
    <w:p>
      <w:pPr>
        <w:pStyle w:val="Heading1"/>
      </w:pPr>
      <w:r>
        <w:t xml:space="preserve">APPENDIX B — RESOURCES</w:t>
      </w:r>
    </w:p>
    <w:bookmarkStart w:id="49" w:name="certification-vendor-directories"/>
    <w:p>
      <w:pPr>
        <w:pStyle w:val="Heading2"/>
      </w:pPr>
      <w:r>
        <w:t xml:space="preserve">Certification &amp; Vendor Directories</w:t>
      </w:r>
    </w:p>
    <w:p>
      <w:pPr>
        <w:numPr>
          <w:ilvl w:val="0"/>
          <w:numId w:val="1014"/>
        </w:numPr>
        <w:pStyle w:val="Compact"/>
      </w:pPr>
      <w:r>
        <w:rPr>
          <w:bCs/>
          <w:b/>
        </w:rPr>
        <w:t xml:space="preserve">City of Chicago M/WBE Directory</w:t>
      </w:r>
      <w:r>
        <w:t xml:space="preserve"> </w:t>
      </w:r>
      <w:r>
        <w:t xml:space="preserve">— https://chicago.mwdbe.com</w:t>
      </w:r>
    </w:p>
    <w:p>
      <w:pPr>
        <w:numPr>
          <w:ilvl w:val="0"/>
          <w:numId w:val="1014"/>
        </w:numPr>
        <w:pStyle w:val="Compact"/>
      </w:pPr>
      <w:r>
        <w:rPr>
          <w:bCs/>
          <w:b/>
        </w:rPr>
        <w:t xml:space="preserve">Illinois Unified Certification Program (UCP) Directory</w:t>
      </w:r>
      <w:r>
        <w:t xml:space="preserve"> </w:t>
      </w:r>
      <w:r>
        <w:t xml:space="preserve">— https://webapps.dot.illinois.gov/UCP/ExternalSearch</w:t>
      </w:r>
    </w:p>
    <w:p>
      <w:pPr>
        <w:numPr>
          <w:ilvl w:val="0"/>
          <w:numId w:val="1014"/>
        </w:numPr>
        <w:pStyle w:val="Compact"/>
      </w:pPr>
      <w:r>
        <w:rPr>
          <w:bCs/>
          <w:b/>
        </w:rPr>
        <w:t xml:space="preserve">Cook County Certified Vendors</w:t>
      </w:r>
      <w:r>
        <w:t xml:space="preserve"> </w:t>
      </w:r>
      <w:r>
        <w:t xml:space="preserve">— https://cookcountyil.gov/service/search-certified-vendors</w:t>
      </w:r>
    </w:p>
    <w:p>
      <w:pPr>
        <w:numPr>
          <w:ilvl w:val="0"/>
          <w:numId w:val="1014"/>
        </w:numPr>
        <w:pStyle w:val="Compact"/>
      </w:pPr>
      <w:r>
        <w:rPr>
          <w:bCs/>
          <w:b/>
        </w:rPr>
        <w:t xml:space="preserve">Electrical Generating Systems Association (EGSA) Certified Technician Directory</w:t>
      </w:r>
      <w:r>
        <w:t xml:space="preserve"> </w:t>
      </w:r>
      <w:r>
        <w:t xml:space="preserve">— https://www.egsa.org</w:t>
      </w:r>
    </w:p>
    <w:p>
      <w:pPr>
        <w:numPr>
          <w:ilvl w:val="0"/>
          <w:numId w:val="1014"/>
        </w:numPr>
        <w:pStyle w:val="Compact"/>
      </w:pPr>
      <w:r>
        <w:rPr>
          <w:bCs/>
          <w:b/>
        </w:rPr>
        <w:t xml:space="preserve">System for Award Management (SAM.gov)</w:t>
      </w:r>
      <w:r>
        <w:t xml:space="preserve"> </w:t>
      </w:r>
      <w:r>
        <w:t xml:space="preserve">— federal debarment and exclusion checks</w:t>
      </w:r>
    </w:p>
    <w:bookmarkEnd w:id="49"/>
    <w:bookmarkStart w:id="50" w:name="peer-agency-procurement-resources"/>
    <w:p>
      <w:pPr>
        <w:pStyle w:val="Heading2"/>
      </w:pPr>
      <w:r>
        <w:t xml:space="preserve">Peer Agency Procurement Resources</w:t>
      </w:r>
    </w:p>
    <w:p>
      <w:pPr>
        <w:numPr>
          <w:ilvl w:val="0"/>
          <w:numId w:val="1015"/>
        </w:numPr>
        <w:pStyle w:val="Compact"/>
      </w:pPr>
      <w:r>
        <w:t xml:space="preserve">Chicago Transit Authority Procurement — https://www.transitchicago.com/procurement/</w:t>
      </w:r>
    </w:p>
    <w:p>
      <w:pPr>
        <w:numPr>
          <w:ilvl w:val="0"/>
          <w:numId w:val="1015"/>
        </w:numPr>
        <w:pStyle w:val="Compact"/>
      </w:pPr>
      <w:r>
        <w:t xml:space="preserve">Chicago Housing Authority Open Solicitations — https://www.thecha.org/doing-business/contracting-opportunities/open-solicitations</w:t>
      </w:r>
    </w:p>
    <w:p>
      <w:pPr>
        <w:numPr>
          <w:ilvl w:val="0"/>
          <w:numId w:val="1015"/>
        </w:numPr>
        <w:pStyle w:val="Compact"/>
      </w:pPr>
      <w:r>
        <w:t xml:space="preserve">New York City DCAS Current Solicitations — https://www.nyc.gov/site/dcas/business/current-dcas-solicitations.page</w:t>
      </w:r>
    </w:p>
    <w:p>
      <w:pPr>
        <w:numPr>
          <w:ilvl w:val="0"/>
          <w:numId w:val="1015"/>
        </w:numPr>
        <w:pStyle w:val="Compact"/>
      </w:pPr>
      <w:r>
        <w:t xml:space="preserve">NYC City Record Online (CROL) — https://a856-cityrecord.nyc.gov</w:t>
      </w:r>
    </w:p>
    <w:p>
      <w:pPr>
        <w:numPr>
          <w:ilvl w:val="0"/>
          <w:numId w:val="1015"/>
        </w:numPr>
        <w:pStyle w:val="Compact"/>
      </w:pPr>
      <w:r>
        <w:t xml:space="preserve">Cook County Procurement (Bonfire Portal) — https://www.cookcountyil.gov/service/current-contract-opportunities</w:t>
      </w:r>
    </w:p>
    <w:p>
      <w:pPr>
        <w:numPr>
          <w:ilvl w:val="0"/>
          <w:numId w:val="1015"/>
        </w:numPr>
        <w:pStyle w:val="Compact"/>
      </w:pPr>
      <w:r>
        <w:t xml:space="preserve">Sourcewell Awarded Contracts Search — https://www.sourcewell-mn.gov/contract-search</w:t>
      </w:r>
    </w:p>
    <w:p>
      <w:pPr>
        <w:numPr>
          <w:ilvl w:val="0"/>
          <w:numId w:val="1015"/>
        </w:numPr>
        <w:pStyle w:val="Compact"/>
      </w:pPr>
      <w:r>
        <w:t xml:space="preserve">OMNIA Partners Public Sector — https://www.omniapartners.com/publicsector</w:t>
      </w:r>
    </w:p>
    <w:bookmarkEnd w:id="50"/>
    <w:bookmarkStart w:id="51" w:name="data-sources"/>
    <w:p>
      <w:pPr>
        <w:pStyle w:val="Heading2"/>
      </w:pPr>
      <w:r>
        <w:t xml:space="preserve">Data Sources</w:t>
      </w:r>
    </w:p>
    <w:p>
      <w:pPr>
        <w:numPr>
          <w:ilvl w:val="0"/>
          <w:numId w:val="1016"/>
        </w:numPr>
        <w:pStyle w:val="Compact"/>
      </w:pPr>
      <w:r>
        <w:t xml:space="preserve">City of Chicago Data Portal — https://data.cityofchicago.org</w:t>
      </w:r>
    </w:p>
    <w:p>
      <w:pPr>
        <w:numPr>
          <w:ilvl w:val="0"/>
          <w:numId w:val="1016"/>
        </w:numPr>
        <w:pStyle w:val="Compact"/>
      </w:pPr>
      <w:r>
        <w:t xml:space="preserve">Chicago Department of Procurement Services — https://www.chicago.gov/city/en/depts/dps.html</w:t>
      </w:r>
    </w:p>
    <w:p>
      <w:pPr>
        <w:numPr>
          <w:ilvl w:val="0"/>
          <w:numId w:val="1016"/>
        </w:numPr>
        <w:pStyle w:val="Compact"/>
      </w:pPr>
      <w:r>
        <w:t xml:space="preserve">City of Chicago Contract Administration — https://www.chicago.gov/city/en/depts/dps/provdrs/contract.html</w:t>
      </w:r>
    </w:p>
    <w:p>
      <w:pPr>
        <w:numPr>
          <w:ilvl w:val="0"/>
          <w:numId w:val="1016"/>
        </w:numPr>
        <w:pStyle w:val="Compact"/>
      </w:pPr>
      <w:r>
        <w:t xml:space="preserve">Illinois EPA Air Permitting — https://epa.illinois.gov/topics/forms/air-forms</w:t>
      </w:r>
    </w:p>
    <w:p>
      <w:r>
        <w:pict>
          <v:rect style="width:0;height:1.5pt" o:hralign="center" o:hrstd="t" o:hr="t"/>
        </w:pict>
      </w:r>
    </w:p>
    <w:bookmarkEnd w:id="51"/>
    <w:bookmarkEnd w:id="52"/>
    <w:bookmarkStart w:id="53" w:name="appendix-c-research-sources"/>
    <w:p>
      <w:pPr>
        <w:pStyle w:val="Heading1"/>
      </w:pPr>
      <w:r>
        <w:t xml:space="preserve">APPENDIX C — RESEARCH SOURCES</w:t>
      </w:r>
    </w:p>
    <w:p>
      <w:pPr>
        <w:numPr>
          <w:ilvl w:val="0"/>
          <w:numId w:val="1017"/>
        </w:numPr>
        <w:pStyle w:val="Compact"/>
      </w:pPr>
      <w:r>
        <w:t xml:space="preserve">National Fire Protection Association — NFPA 110 Standard Development — https://www.nfpa.org/codes-and-standards/nfpa-110-standard-development/110 — authoritative reference for Emergency and Standby Power Systems standard, including Chapter 8 maintenance and testing requirements.</w:t>
      </w:r>
    </w:p>
    <w:p>
      <w:pPr>
        <w:numPr>
          <w:ilvl w:val="0"/>
          <w:numId w:val="1017"/>
        </w:numPr>
        <w:pStyle w:val="Compact"/>
      </w:pPr>
      <w:r>
        <w:t xml:space="preserve">Curtis Power Solutions —</w:t>
      </w:r>
      <w:r>
        <w:t xml:space="preserve"> </w:t>
      </w:r>
      <w:r>
        <w:t xml:space="preserve">“</w:t>
      </w:r>
      <w:r>
        <w:t xml:space="preserve">NFPA 110 Maintenance and Testing</w:t>
      </w:r>
      <w:r>
        <w:t xml:space="preserve">”</w:t>
      </w:r>
      <w:r>
        <w:t xml:space="preserve"> </w:t>
      </w:r>
      <w:r>
        <w:t xml:space="preserve">— https://www.curtispowersolutions.com/nfpa-110-maintenance-testing — industry primer on the Chapter 8 maintenance cycle including weekly, monthly, annual, and triennial requirements.</w:t>
      </w:r>
    </w:p>
    <w:p>
      <w:pPr>
        <w:numPr>
          <w:ilvl w:val="0"/>
          <w:numId w:val="1017"/>
        </w:numPr>
        <w:pStyle w:val="Compact"/>
      </w:pPr>
      <w:r>
        <w:t xml:space="preserve">Clifford Power —</w:t>
      </w:r>
      <w:r>
        <w:t xml:space="preserve"> </w:t>
      </w:r>
      <w:r>
        <w:t xml:space="preserve">“</w:t>
      </w:r>
      <w:r>
        <w:t xml:space="preserve">NFPA 110 Levels 1 and 2 Standards for Generator Systems</w:t>
      </w:r>
      <w:r>
        <w:t xml:space="preserve">”</w:t>
      </w:r>
      <w:r>
        <w:t xml:space="preserve"> </w:t>
      </w:r>
      <w:r>
        <w:t xml:space="preserve">— https://cliffordpower.com/wp-content/uploads/2024/02/IS_25_NFPA110_Level1_2-REV-11-1-19.pdf — detailed NFPA 110 Level 1 vs. Level 2 differentiation used in the scope tier discussion.</w:t>
      </w:r>
    </w:p>
    <w:p>
      <w:pPr>
        <w:numPr>
          <w:ilvl w:val="0"/>
          <w:numId w:val="1017"/>
        </w:numPr>
        <w:pStyle w:val="Compact"/>
      </w:pPr>
      <w:r>
        <w:t xml:space="preserve">Cummins —</w:t>
      </w:r>
      <w:r>
        <w:t xml:space="preserve"> </w:t>
      </w:r>
      <w:r>
        <w:t xml:space="preserve">“</w:t>
      </w:r>
      <w:r>
        <w:t xml:space="preserve">NFPA 110 Type 10 Requirements for Emergency Power</w:t>
      </w:r>
      <w:r>
        <w:t xml:space="preserve">”</w:t>
      </w:r>
      <w:r>
        <w:t xml:space="preserve"> </w:t>
      </w:r>
      <w:r>
        <w:t xml:space="preserve">— https://www.cummins.com/sites/default/files/2019-03/PowerHour_NFPA110.pdf — OEM technical guidance used for NFPA 110 interpretation.</w:t>
      </w:r>
    </w:p>
    <w:p>
      <w:pPr>
        <w:numPr>
          <w:ilvl w:val="0"/>
          <w:numId w:val="1017"/>
        </w:numPr>
        <w:pStyle w:val="Compact"/>
      </w:pPr>
      <w:r>
        <w:t xml:space="preserve">Kohler Power —</w:t>
      </w:r>
      <w:r>
        <w:t xml:space="preserve"> </w:t>
      </w:r>
      <w:r>
        <w:t xml:space="preserve">“</w:t>
      </w:r>
      <w:r>
        <w:t xml:space="preserve">Power Systems Topics 116: Understanding NFPA 110</w:t>
      </w:r>
      <w:r>
        <w:t xml:space="preserve">”</w:t>
      </w:r>
      <w:r>
        <w:t xml:space="preserve"> </w:t>
      </w:r>
      <w:r>
        <w:t xml:space="preserve">— https://resources.kohler.com/power/kohler/industrial/pdf/NFPA110_Whitepaper.pdf — OEM white paper on NFPA 110.</w:t>
      </w:r>
    </w:p>
    <w:p>
      <w:pPr>
        <w:numPr>
          <w:ilvl w:val="0"/>
          <w:numId w:val="1017"/>
        </w:numPr>
        <w:pStyle w:val="Compact"/>
      </w:pPr>
      <w:r>
        <w:t xml:space="preserve">Consulting-Specifying Engineer —</w:t>
      </w:r>
      <w:r>
        <w:t xml:space="preserve"> </w:t>
      </w:r>
      <w:r>
        <w:t xml:space="preserve">“</w:t>
      </w:r>
      <w:r>
        <w:t xml:space="preserve">Defining NFPA 37</w:t>
      </w:r>
      <w:r>
        <w:t xml:space="preserve">”</w:t>
      </w:r>
      <w:r>
        <w:t xml:space="preserve"> </w:t>
      </w:r>
      <w:r>
        <w:t xml:space="preserve">— https://www.csemag.com/articles/defining-nfpa-37/ — reference for NFPA 37 installation and use of stationary combustion engines.</w:t>
      </w:r>
    </w:p>
    <w:p>
      <w:pPr>
        <w:numPr>
          <w:ilvl w:val="0"/>
          <w:numId w:val="1017"/>
        </w:numPr>
        <w:pStyle w:val="Compact"/>
      </w:pPr>
      <w:r>
        <w:t xml:space="preserve">UpCodes — NFPA 37, 2021 Edition — https://up.codes/code/nfpa-37-standard-for-the-installation-and-use-of-stationary-combustion-engines-and-gas-turbines-2021 — code text reference for NFPA 37.</w:t>
      </w:r>
    </w:p>
    <w:p>
      <w:pPr>
        <w:numPr>
          <w:ilvl w:val="0"/>
          <w:numId w:val="1017"/>
        </w:numPr>
        <w:pStyle w:val="Compact"/>
      </w:pPr>
      <w:r>
        <w:t xml:space="preserve">Global Power Supply —</w:t>
      </w:r>
      <w:r>
        <w:t xml:space="preserve"> </w:t>
      </w:r>
      <w:r>
        <w:t xml:space="preserve">“</w:t>
      </w:r>
      <w:r>
        <w:t xml:space="preserve">Understanding EPA Compliance for Diesel Generators</w:t>
      </w:r>
      <w:r>
        <w:t xml:space="preserve">”</w:t>
      </w:r>
      <w:r>
        <w:t xml:space="preserve"> </w:t>
      </w:r>
      <w:r>
        <w:t xml:space="preserve">— https://www.globalpwr.com/blog/epa-compliance-for-diesel-generators-simplified/ — industry summary of EPA Tier standards.</w:t>
      </w:r>
    </w:p>
    <w:p>
      <w:pPr>
        <w:numPr>
          <w:ilvl w:val="0"/>
          <w:numId w:val="1017"/>
        </w:numPr>
        <w:pStyle w:val="Compact"/>
      </w:pPr>
      <w:r>
        <w:t xml:space="preserve">U.S. EPA —</w:t>
      </w:r>
      <w:r>
        <w:t xml:space="preserve"> </w:t>
      </w:r>
      <w:r>
        <w:t xml:space="preserve">“</w:t>
      </w:r>
      <w:r>
        <w:t xml:space="preserve">RICE NESHAP Requirements for Stationary Engines at Area Sources</w:t>
      </w:r>
      <w:r>
        <w:t xml:space="preserve">”</w:t>
      </w:r>
      <w:r>
        <w:t xml:space="preserve"> </w:t>
      </w:r>
      <w:r>
        <w:t xml:space="preserve">— https://www.epa.gov/sites/default/files/2014-03/documents/9_24_2013_summaryrequirements_area_sources.pdf — federal RICE NESHAP regulatory summary.</w:t>
      </w:r>
    </w:p>
    <w:p>
      <w:pPr>
        <w:numPr>
          <w:ilvl w:val="0"/>
          <w:numId w:val="1017"/>
        </w:numPr>
        <w:pStyle w:val="Compact"/>
      </w:pPr>
      <w:r>
        <w:t xml:space="preserve">Illinois EPA Environmental Assistance Program —</w:t>
      </w:r>
      <w:r>
        <w:t xml:space="preserve"> </w:t>
      </w:r>
      <w:r>
        <w:t xml:space="preserve">“</w:t>
      </w:r>
      <w:r>
        <w:t xml:space="preserve">Reciprocating Internal Combustion Engines (RICE)</w:t>
      </w:r>
      <w:r>
        <w:t xml:space="preserve">”</w:t>
      </w:r>
      <w:r>
        <w:t xml:space="preserve"> </w:t>
      </w:r>
      <w:r>
        <w:t xml:space="preserve">— https://dceo.illinois.gov/smallbizassistance/environmentalassistanceprogram/rice.html — Illinois state guidance on RICE regulation and ROSS program.</w:t>
      </w:r>
    </w:p>
    <w:p>
      <w:pPr>
        <w:numPr>
          <w:ilvl w:val="0"/>
          <w:numId w:val="1017"/>
        </w:numPr>
        <w:pStyle w:val="Compact"/>
      </w:pPr>
      <w:r>
        <w:t xml:space="preserve">Illinois EPA —</w:t>
      </w:r>
      <w:r>
        <w:t xml:space="preserve"> </w:t>
      </w:r>
      <w:r>
        <w:t xml:space="preserve">“</w:t>
      </w:r>
      <w:r>
        <w:t xml:space="preserve">Lifetime Permit Forms</w:t>
      </w:r>
      <w:r>
        <w:t xml:space="preserve">”</w:t>
      </w:r>
      <w:r>
        <w:t xml:space="preserve"> </w:t>
      </w:r>
      <w:r>
        <w:t xml:space="preserve">— https://epa.illinois.gov/topics/forms/air-forms/lifetime.html — Illinois EPA lifetime operating permit program.</w:t>
      </w:r>
    </w:p>
    <w:p>
      <w:pPr>
        <w:numPr>
          <w:ilvl w:val="0"/>
          <w:numId w:val="1017"/>
        </w:numPr>
        <w:pStyle w:val="Compact"/>
      </w:pPr>
      <w:r>
        <w:t xml:space="preserve">Earthsafe —</w:t>
      </w:r>
      <w:r>
        <w:t xml:space="preserve"> </w:t>
      </w:r>
      <w:r>
        <w:t xml:space="preserve">“</w:t>
      </w:r>
      <w:r>
        <w:t xml:space="preserve">NFPA 110 Diesel Fuel Test Compliance</w:t>
      </w:r>
      <w:r>
        <w:t xml:space="preserve">”</w:t>
      </w:r>
      <w:r>
        <w:t xml:space="preserve"> </w:t>
      </w:r>
      <w:r>
        <w:t xml:space="preserve">— https://www.earthsafe.com/critical-thinking/testing-diesel-fuel-generators-drilldown-nfpa-110-rules — fuel testing reference aligned to NFPA 110 §8.3.7.</w:t>
      </w:r>
    </w:p>
    <w:p>
      <w:pPr>
        <w:numPr>
          <w:ilvl w:val="0"/>
          <w:numId w:val="1017"/>
        </w:numPr>
        <w:pStyle w:val="Compact"/>
      </w:pPr>
      <w:r>
        <w:t xml:space="preserve">FuelCare USA —</w:t>
      </w:r>
      <w:r>
        <w:t xml:space="preserve"> </w:t>
      </w:r>
      <w:r>
        <w:t xml:space="preserve">“</w:t>
      </w:r>
      <w:r>
        <w:t xml:space="preserve">ASTM D975 Diesel Fuel Testing Guide</w:t>
      </w:r>
      <w:r>
        <w:t xml:space="preserve">”</w:t>
      </w:r>
      <w:r>
        <w:t xml:space="preserve"> </w:t>
      </w:r>
      <w:r>
        <w:t xml:space="preserve">— https://fuelcareusa.com/critical-facilities-power-resilience/astm-d975-diesel-fuel-testing-guide/ — ASTM D975 battery-of-tests reference.</w:t>
      </w:r>
    </w:p>
    <w:p>
      <w:pPr>
        <w:numPr>
          <w:ilvl w:val="0"/>
          <w:numId w:val="1017"/>
        </w:numPr>
        <w:pStyle w:val="Compact"/>
      </w:pPr>
      <w:r>
        <w:t xml:space="preserve">National Standby Repair —</w:t>
      </w:r>
      <w:r>
        <w:t xml:space="preserve"> </w:t>
      </w:r>
      <w:r>
        <w:t xml:space="preserve">“</w:t>
      </w:r>
      <w:r>
        <w:t xml:space="preserve">What Is Fuel Polishing?</w:t>
      </w:r>
      <w:r>
        <w:t xml:space="preserve">”</w:t>
      </w:r>
      <w:r>
        <w:t xml:space="preserve"> </w:t>
      </w:r>
      <w:r>
        <w:t xml:space="preserve">— https://nationalstandby.com/blog/what-is-fuel-polishing/ — operational definition and rationale for fuel polishing.</w:t>
      </w:r>
    </w:p>
    <w:p>
      <w:pPr>
        <w:numPr>
          <w:ilvl w:val="0"/>
          <w:numId w:val="1017"/>
        </w:numPr>
        <w:pStyle w:val="Compact"/>
      </w:pPr>
      <w:r>
        <w:t xml:space="preserve">American Legal Publishing — Chicago Municipal Code, Chapter 2-92 (Department of Procurement Services) — https://codelibrary.amlegal.com/codes/chicago/latest/chicago_il/0-0-0-2600750 — authoritative code text for Chicago’s procurement chapter.</w:t>
      </w:r>
    </w:p>
    <w:p>
      <w:pPr>
        <w:numPr>
          <w:ilvl w:val="0"/>
          <w:numId w:val="1017"/>
        </w:numPr>
        <w:pStyle w:val="Compact"/>
      </w:pPr>
      <w:r>
        <w:t xml:space="preserve">American Legal Publishing — MCC § 2-92-600 Joint Procurement — https://codelibrary.amlegal.com/codes/chicago/latest/chicago_il/0-0-0-2601864 — legal basis for cooperative piggybacking.</w:t>
      </w:r>
    </w:p>
    <w:p>
      <w:pPr>
        <w:numPr>
          <w:ilvl w:val="0"/>
          <w:numId w:val="1017"/>
        </w:numPr>
        <w:pStyle w:val="Compact"/>
      </w:pPr>
      <w:r>
        <w:t xml:space="preserve">American Legal Publishing — MCC § 2-92-617 Competitive Bidding Contracts with Multiple Vendors — https://codelibrary.amlegal.com/codes/chicago/latest/chicago_il/0-0-0-2601931 — legal basis for multi-vendor awards.</w:t>
      </w:r>
    </w:p>
    <w:p>
      <w:pPr>
        <w:numPr>
          <w:ilvl w:val="0"/>
          <w:numId w:val="1017"/>
        </w:numPr>
        <w:pStyle w:val="Compact"/>
      </w:pPr>
      <w:r>
        <w:t xml:space="preserve">American Legal Publishing — MCC Title 14E-7-700 Emergency Systems — https://codelibrary.amlegal.com/codes/chicago/latest/chicago_il/0-0-0-2588450 — current electrical code emergency systems section.</w:t>
      </w:r>
    </w:p>
    <w:p>
      <w:pPr>
        <w:numPr>
          <w:ilvl w:val="0"/>
          <w:numId w:val="1017"/>
        </w:numPr>
        <w:pStyle w:val="Compact"/>
      </w:pPr>
      <w:r>
        <w:t xml:space="preserve">American Legal Publishing — MCC Chapter 18-27 Reserved (electrical code migration notice) — https://codelibrary.amlegal.com/codes/chicago/latest/chicago_il/0-0-0-2685270 — confirmation of the 2018 migration of the Chicago Electrical Code from Chapter 18-27 to Title 14E.</w:t>
      </w:r>
    </w:p>
    <w:p>
      <w:pPr>
        <w:numPr>
          <w:ilvl w:val="0"/>
          <w:numId w:val="1017"/>
        </w:numPr>
        <w:pStyle w:val="Compact"/>
      </w:pPr>
      <w:r>
        <w:t xml:space="preserve">City of Chicago Department of Procurement Services —</w:t>
      </w:r>
      <w:r>
        <w:t xml:space="preserve"> </w:t>
      </w:r>
      <w:r>
        <w:t xml:space="preserve">“</w:t>
      </w:r>
      <w:r>
        <w:t xml:space="preserve">Procurement Fundamentals Resource Guide, 2022</w:t>
      </w:r>
      <w:r>
        <w:t xml:space="preserve">”</w:t>
      </w:r>
      <w:r>
        <w:t xml:space="preserve"> </w:t>
      </w:r>
      <w:r>
        <w:t xml:space="preserve">— https://www.chicago.gov/content/dam/city/depts/dps/RulesRegulations/ResourceGuide_ProcurementFundamentals_FINAL_2022.pdf — official DPS guidance on procurement methods and the $100,000 competitive-bidding threshold.</w:t>
      </w:r>
    </w:p>
    <w:p>
      <w:pPr>
        <w:numPr>
          <w:ilvl w:val="0"/>
          <w:numId w:val="1017"/>
        </w:numPr>
        <w:pStyle w:val="Compact"/>
      </w:pPr>
      <w:r>
        <w:t xml:space="preserve">City of Chicago —</w:t>
      </w:r>
      <w:r>
        <w:t xml:space="preserve"> </w:t>
      </w:r>
      <w:r>
        <w:t xml:space="preserve">“</w:t>
      </w:r>
      <w:r>
        <w:t xml:space="preserve">Non-Competitive Procurement (Sole Source)</w:t>
      </w:r>
      <w:r>
        <w:t xml:space="preserve">”</w:t>
      </w:r>
      <w:r>
        <w:t xml:space="preserve"> </w:t>
      </w:r>
      <w:r>
        <w:t xml:space="preserve">— https://www.chicago.gov/city/en/depts/dps/provdrs/contract/svcs/non-competitive_procurement.html — DPS guidance on non-competitive awards and NCRB process.</w:t>
      </w:r>
    </w:p>
    <w:p>
      <w:pPr>
        <w:numPr>
          <w:ilvl w:val="0"/>
          <w:numId w:val="1017"/>
        </w:numPr>
        <w:pStyle w:val="Compact"/>
      </w:pPr>
      <w:r>
        <w:t xml:space="preserve">City of Chicago —</w:t>
      </w:r>
      <w:r>
        <w:t xml:space="preserve"> </w:t>
      </w:r>
      <w:r>
        <w:t xml:space="preserve">“</w:t>
      </w:r>
      <w:r>
        <w:t xml:space="preserve">Emergency Contracts</w:t>
      </w:r>
      <w:r>
        <w:t xml:space="preserve">”</w:t>
      </w:r>
      <w:r>
        <w:t xml:space="preserve"> </w:t>
      </w:r>
      <w:r>
        <w:t xml:space="preserve">— https://www.chicago.gov/city/en/depts/dps/provdrs/contract/svcs/emergency_contracts.html — DPS guidance on emergency awards (≤$500,000 threshold).</w:t>
      </w:r>
    </w:p>
    <w:p>
      <w:pPr>
        <w:numPr>
          <w:ilvl w:val="0"/>
          <w:numId w:val="1017"/>
        </w:numPr>
        <w:pStyle w:val="Compact"/>
      </w:pPr>
      <w:r>
        <w:t xml:space="preserve">Sourcewell Cooperative Purchasing —</w:t>
      </w:r>
      <w:r>
        <w:t xml:space="preserve"> </w:t>
      </w:r>
      <w:r>
        <w:t xml:space="preserve">“</w:t>
      </w:r>
      <w:r>
        <w:t xml:space="preserve">Contract 092222-CAT (Caterpillar / Carolina Cat — Electrical Energy Power Generation Equipment)</w:t>
      </w:r>
      <w:r>
        <w:t xml:space="preserve">”</w:t>
      </w:r>
      <w:r>
        <w:t xml:space="preserve"> </w:t>
      </w:r>
      <w:r>
        <w:t xml:space="preserve">— https://www.sourcewell-mn.gov/contract-search — awarded Sourcewell contract including generator sets, switchgear, maintenance, and ATSs.</w:t>
      </w:r>
    </w:p>
    <w:p>
      <w:pPr>
        <w:numPr>
          <w:ilvl w:val="0"/>
          <w:numId w:val="1017"/>
        </w:numPr>
        <w:pStyle w:val="Compact"/>
      </w:pPr>
      <w:r>
        <w:t xml:space="preserve">Sourcewell Cooperative Purchasing —</w:t>
      </w:r>
      <w:r>
        <w:t xml:space="preserve"> </w:t>
      </w:r>
      <w:r>
        <w:t xml:space="preserve">“</w:t>
      </w:r>
      <w:r>
        <w:t xml:space="preserve">Contract 120617-CMM (Cummins)</w:t>
      </w:r>
      <w:r>
        <w:t xml:space="preserve">”</w:t>
      </w:r>
      <w:r>
        <w:t xml:space="preserve"> </w:t>
      </w:r>
      <w:r>
        <w:t xml:space="preserve">— https://www.sourcewell-mn.gov/cooperative-purchasing/120617-cmm — awarded Cummins Sourcewell contract.</w:t>
      </w:r>
    </w:p>
    <w:p>
      <w:pPr>
        <w:numPr>
          <w:ilvl w:val="0"/>
          <w:numId w:val="1017"/>
        </w:numPr>
        <w:pStyle w:val="Compact"/>
      </w:pPr>
      <w:r>
        <w:t xml:space="preserve">Generac Industrial —</w:t>
      </w:r>
      <w:r>
        <w:t xml:space="preserve"> </w:t>
      </w:r>
      <w:r>
        <w:t xml:space="preserve">“</w:t>
      </w:r>
      <w:r>
        <w:t xml:space="preserve">Sourcewell Co-Op Purchasing</w:t>
      </w:r>
      <w:r>
        <w:t xml:space="preserve">”</w:t>
      </w:r>
      <w:r>
        <w:t xml:space="preserve"> </w:t>
      </w:r>
      <w:r>
        <w:t xml:space="preserve">— https://www.generac.com/industrial/tools-resources/support/co-op-purchasing-sourcewell/ — Generac’s participation in the Sourcewell cooperative program.</w:t>
      </w:r>
    </w:p>
    <w:p>
      <w:pPr>
        <w:numPr>
          <w:ilvl w:val="0"/>
          <w:numId w:val="1017"/>
        </w:numPr>
        <w:pStyle w:val="Compact"/>
      </w:pPr>
      <w:r>
        <w:t xml:space="preserve">OMNIA Partners —</w:t>
      </w:r>
      <w:r>
        <w:t xml:space="preserve"> </w:t>
      </w:r>
      <w:r>
        <w:t xml:space="preserve">“</w:t>
      </w:r>
      <w:r>
        <w:t xml:space="preserve">State &amp; Local Government Cooperative Purchasing</w:t>
      </w:r>
      <w:r>
        <w:t xml:space="preserve">”</w:t>
      </w:r>
      <w:r>
        <w:t xml:space="preserve"> </w:t>
      </w:r>
      <w:r>
        <w:t xml:space="preserve">— https://www.omniapartners.com/industries/government — national cooperative with 87,000+ member agencies.</w:t>
      </w:r>
    </w:p>
    <w:p>
      <w:pPr>
        <w:numPr>
          <w:ilvl w:val="0"/>
          <w:numId w:val="1017"/>
        </w:numPr>
        <w:pStyle w:val="Compact"/>
      </w:pPr>
      <w:r>
        <w:t xml:space="preserve">NYC Department of Citywide Administrative Services —</w:t>
      </w:r>
      <w:r>
        <w:t xml:space="preserve"> </w:t>
      </w:r>
      <w:r>
        <w:t xml:space="preserve">“</w:t>
      </w:r>
      <w:r>
        <w:t xml:space="preserve">Current DCAS Solicitations</w:t>
      </w:r>
      <w:r>
        <w:t xml:space="preserve">”</w:t>
      </w:r>
      <w:r>
        <w:t xml:space="preserve"> </w:t>
      </w:r>
      <w:r>
        <w:t xml:space="preserve">— https://www.nyc.gov/site/dcas/business/current-dcas-solicitations.page — the DCAS portfolio of citywide requirements contracts including generator set service.</w:t>
      </w:r>
    </w:p>
    <w:p>
      <w:pPr>
        <w:numPr>
          <w:ilvl w:val="0"/>
          <w:numId w:val="1017"/>
        </w:numPr>
        <w:pStyle w:val="Compact"/>
      </w:pPr>
      <w:r>
        <w:t xml:space="preserve">NYC DCAS —</w:t>
      </w:r>
      <w:r>
        <w:t xml:space="preserve"> </w:t>
      </w:r>
      <w:r>
        <w:t xml:space="preserve">“</w:t>
      </w:r>
      <w:r>
        <w:t xml:space="preserve">Citywide Procurement Frequently Asked Questions</w:t>
      </w:r>
      <w:r>
        <w:t xml:space="preserve">”</w:t>
      </w:r>
      <w:r>
        <w:t xml:space="preserve"> </w:t>
      </w:r>
      <w:r>
        <w:t xml:space="preserve">— https://www.nyc.gov/site/dcas/business/citywide-procurement-faq.page — DCAS multi-year requirements contract structure.</w:t>
      </w:r>
    </w:p>
    <w:p>
      <w:pPr>
        <w:numPr>
          <w:ilvl w:val="0"/>
          <w:numId w:val="1017"/>
        </w:numPr>
        <w:pStyle w:val="Compact"/>
      </w:pPr>
      <w:r>
        <w:t xml:space="preserve">Chicago Housing Authority — Generator Inspection and Maintenance Solicitation Abstract (BidNet Direct) — https://www.bidnetdirect.com/public/supplier/solicitations/statewide/443642828185/abstract — CHA’s generator inspection, testing, routine maintenance, and minor repair RFP covering approximately 80 elevator-backup generators, with the annual witnessed full-load test requirement.</w:t>
      </w:r>
    </w:p>
    <w:p>
      <w:pPr>
        <w:numPr>
          <w:ilvl w:val="0"/>
          <w:numId w:val="1017"/>
        </w:numPr>
        <w:pStyle w:val="Compact"/>
      </w:pPr>
      <w:r>
        <w:t xml:space="preserve">Chicago Housing Authority — Open Solicitations — https://www.thecha.org/doing-business/contracting-opportunities/open-solicitations — CHA solicitation portal.</w:t>
      </w:r>
    </w:p>
    <w:p>
      <w:pPr>
        <w:numPr>
          <w:ilvl w:val="0"/>
          <w:numId w:val="1017"/>
        </w:numPr>
        <w:pStyle w:val="Compact"/>
      </w:pPr>
      <w:r>
        <w:t xml:space="preserve">Chicago Transit Authority — Procurement Contract Opportunities — https://www.transitchicago.com/procurement/contract-opportunities/ — CTA procurement portal for generator and substation-related contracts.</w:t>
      </w:r>
    </w:p>
    <w:p>
      <w:pPr>
        <w:numPr>
          <w:ilvl w:val="0"/>
          <w:numId w:val="1017"/>
        </w:numPr>
        <w:pStyle w:val="Compact"/>
      </w:pPr>
      <w:r>
        <w:t xml:space="preserve">Chicago-L.org —</w:t>
      </w:r>
      <w:r>
        <w:t xml:space="preserve"> </w:t>
      </w:r>
      <w:r>
        <w:t xml:space="preserve">“</w:t>
      </w:r>
      <w:r>
        <w:t xml:space="preserve">CTA Operations: Traction Power</w:t>
      </w:r>
      <w:r>
        <w:t xml:space="preserve">”</w:t>
      </w:r>
      <w:r>
        <w:t xml:space="preserve"> </w:t>
      </w:r>
      <w:r>
        <w:t xml:space="preserve">— https://www.chicago-l.org/operations/power/index.html — reference for CTA’s substation infrastructure.</w:t>
      </w:r>
    </w:p>
    <w:p>
      <w:pPr>
        <w:numPr>
          <w:ilvl w:val="0"/>
          <w:numId w:val="1017"/>
        </w:numPr>
        <w:pStyle w:val="Compact"/>
      </w:pPr>
      <w:r>
        <w:t xml:space="preserve">UpCodes —</w:t>
      </w:r>
      <w:r>
        <w:t xml:space="preserve"> </w:t>
      </w:r>
      <w:r>
        <w:t xml:space="preserve">“</w:t>
      </w:r>
      <w:r>
        <w:t xml:space="preserve">Chapter 12 Energy Systems: 2023 County of Los Angeles Fire Code</w:t>
      </w:r>
      <w:r>
        <w:t xml:space="preserve">”</w:t>
      </w:r>
      <w:r>
        <w:t xml:space="preserve"> </w:t>
      </w:r>
      <w:r>
        <w:t xml:space="preserve">— https://up.codes/viewer/los-angeles-county/ca-fire-code-2022/chapter/12/energy-systems — LA County fire code requirements referencing NFPA 110 and NFPA 111 load testing.</w:t>
      </w:r>
    </w:p>
    <w:p>
      <w:pPr>
        <w:numPr>
          <w:ilvl w:val="0"/>
          <w:numId w:val="1017"/>
        </w:numPr>
        <w:pStyle w:val="Compact"/>
      </w:pPr>
      <w:r>
        <w:t xml:space="preserve">Duthie Power Services —</w:t>
      </w:r>
      <w:r>
        <w:t xml:space="preserve"> </w:t>
      </w:r>
      <w:r>
        <w:t xml:space="preserve">“</w:t>
      </w:r>
      <w:r>
        <w:t xml:space="preserve">5 Important Commercial Generator Regulations in California</w:t>
      </w:r>
      <w:r>
        <w:t xml:space="preserve">”</w:t>
      </w:r>
      <w:r>
        <w:t xml:space="preserve"> </w:t>
      </w:r>
      <w:r>
        <w:t xml:space="preserve">— https://www.duthiepower.com/must-know-california-generator-regulations/ — California regulatory overview used for the peer comparison table.</w:t>
      </w:r>
    </w:p>
    <w:p>
      <w:pPr>
        <w:numPr>
          <w:ilvl w:val="0"/>
          <w:numId w:val="1017"/>
        </w:numPr>
        <w:pStyle w:val="Compact"/>
      </w:pPr>
      <w:r>
        <w:t xml:space="preserve">Altorfer Cat —</w:t>
      </w:r>
      <w:r>
        <w:t xml:space="preserve"> </w:t>
      </w:r>
      <w:r>
        <w:t xml:space="preserve">“</w:t>
      </w:r>
      <w:r>
        <w:t xml:space="preserve">Generator Service</w:t>
      </w:r>
      <w:r>
        <w:t xml:space="preserve">”</w:t>
      </w:r>
      <w:r>
        <w:t xml:space="preserve"> </w:t>
      </w:r>
      <w:r>
        <w:t xml:space="preserve">— https://www.altorfer.com/service/power-system-service/generator-service/ — Altorfer’s Caterpillar-authorized service offering and geographic coverage.</w:t>
      </w:r>
    </w:p>
    <w:p>
      <w:pPr>
        <w:numPr>
          <w:ilvl w:val="0"/>
          <w:numId w:val="1017"/>
        </w:numPr>
        <w:pStyle w:val="Compact"/>
      </w:pPr>
      <w:r>
        <w:t xml:space="preserve">Altorfer Cat —</w:t>
      </w:r>
      <w:r>
        <w:t xml:space="preserve"> </w:t>
      </w:r>
      <w:r>
        <w:t xml:space="preserve">“</w:t>
      </w:r>
      <w:r>
        <w:t xml:space="preserve">Power Systems Preventative Maintenance</w:t>
      </w:r>
      <w:r>
        <w:t xml:space="preserve">”</w:t>
      </w:r>
      <w:r>
        <w:t xml:space="preserve"> </w:t>
      </w:r>
      <w:r>
        <w:t xml:space="preserve">— https://www.altorfer.com/service/power-system-service/power-systems-preventative/ — Altorfer’s PM program, load bank testing, and emergency service capability.</w:t>
      </w:r>
    </w:p>
    <w:p>
      <w:pPr>
        <w:numPr>
          <w:ilvl w:val="0"/>
          <w:numId w:val="1017"/>
        </w:numPr>
        <w:pStyle w:val="Compact"/>
      </w:pPr>
      <w:r>
        <w:t xml:space="preserve">Carolina Cat —</w:t>
      </w:r>
      <w:r>
        <w:t xml:space="preserve"> </w:t>
      </w:r>
      <w:r>
        <w:t xml:space="preserve">“</w:t>
      </w:r>
      <w:r>
        <w:t xml:space="preserve">Customer Value Agreements (CVA)</w:t>
      </w:r>
      <w:r>
        <w:t xml:space="preserve">”</w:t>
      </w:r>
      <w:r>
        <w:t xml:space="preserve"> </w:t>
      </w:r>
      <w:r>
        <w:t xml:space="preserve">— https://carolinacat.com/power-systems/service/customer-value-agreements/ — the Cat dealer network’s standard service agreement construct.</w:t>
      </w:r>
    </w:p>
    <w:p>
      <w:pPr>
        <w:numPr>
          <w:ilvl w:val="0"/>
          <w:numId w:val="1017"/>
        </w:numPr>
        <w:pStyle w:val="Compact"/>
      </w:pPr>
      <w:r>
        <w:t xml:space="preserve">Trusted Power Systems — https://trustedpowersystems.com/ — multi-brand authorized service provider for Cummins, Generac, Kohler, Briggs &amp; Stratton, GE, serving Chicagoland.</w:t>
      </w:r>
    </w:p>
    <w:p>
      <w:pPr>
        <w:numPr>
          <w:ilvl w:val="0"/>
          <w:numId w:val="1017"/>
        </w:numPr>
        <w:pStyle w:val="Compact"/>
      </w:pPr>
      <w:r>
        <w:t xml:space="preserve">MPower — https://www.mpwr.co/ — authorized Generac and Kohler dealer serving Chicagoland, Illinois, Wisconsin, Indiana, Michigan.</w:t>
      </w:r>
    </w:p>
    <w:p>
      <w:pPr>
        <w:numPr>
          <w:ilvl w:val="0"/>
          <w:numId w:val="1017"/>
        </w:numPr>
        <w:pStyle w:val="Compact"/>
      </w:pPr>
      <w:r>
        <w:t xml:space="preserve">Four Seasons Heating, Air Conditioning, Plumbing, Electric —</w:t>
      </w:r>
      <w:r>
        <w:t xml:space="preserve"> </w:t>
      </w:r>
      <w:r>
        <w:t xml:space="preserve">“</w:t>
      </w:r>
      <w:r>
        <w:t xml:space="preserve">Generator Maintenance in Chicago</w:t>
      </w:r>
      <w:r>
        <w:t xml:space="preserve">”</w:t>
      </w:r>
      <w:r>
        <w:t xml:space="preserve"> </w:t>
      </w:r>
      <w:r>
        <w:t xml:space="preserve">— https://www.fourseasonsheatingcooling.com/electrical/generators/generator-maintenance/ — Chicagoland certified Generac/Kohler dealer with 24/7 service.</w:t>
      </w:r>
    </w:p>
    <w:p>
      <w:pPr>
        <w:numPr>
          <w:ilvl w:val="0"/>
          <w:numId w:val="1017"/>
        </w:numPr>
        <w:pStyle w:val="Compact"/>
      </w:pPr>
      <w:r>
        <w:t xml:space="preserve">Affiliated Customer Service Inc. —</w:t>
      </w:r>
      <w:r>
        <w:t xml:space="preserve"> </w:t>
      </w:r>
      <w:r>
        <w:t xml:space="preserve">“</w:t>
      </w:r>
      <w:r>
        <w:t xml:space="preserve">Preventive Maintenance Agreements</w:t>
      </w:r>
      <w:r>
        <w:t xml:space="preserve">”</w:t>
      </w:r>
      <w:r>
        <w:t xml:space="preserve"> </w:t>
      </w:r>
      <w:r>
        <w:t xml:space="preserve">— https://www.affiliatedinc.com/preventive-maintenance-agreements/ — Chicago-based independent generator PM specialist.</w:t>
      </w:r>
    </w:p>
    <w:p>
      <w:pPr>
        <w:numPr>
          <w:ilvl w:val="0"/>
          <w:numId w:val="1017"/>
        </w:numPr>
        <w:pStyle w:val="Compact"/>
      </w:pPr>
      <w:r>
        <w:t xml:space="preserve">Penco Electrical Contractor —</w:t>
      </w:r>
      <w:r>
        <w:t xml:space="preserve"> </w:t>
      </w:r>
      <w:r>
        <w:t xml:space="preserve">“</w:t>
      </w:r>
      <w:r>
        <w:t xml:space="preserve">Generator Maintenance in Chicago</w:t>
      </w:r>
      <w:r>
        <w:t xml:space="preserve">”</w:t>
      </w:r>
      <w:r>
        <w:t xml:space="preserve"> </w:t>
      </w:r>
      <w:r>
        <w:t xml:space="preserve">— https://pencoelectricalcontractor.com/generator-services/generator-maintenance/ — Chicago-area generator maintenance contractor.</w:t>
      </w:r>
    </w:p>
    <w:p>
      <w:pPr>
        <w:numPr>
          <w:ilvl w:val="0"/>
          <w:numId w:val="1017"/>
        </w:numPr>
        <w:pStyle w:val="Compact"/>
      </w:pPr>
      <w:r>
        <w:t xml:space="preserve">Buckeye Power Sales —</w:t>
      </w:r>
      <w:r>
        <w:t xml:space="preserve"> </w:t>
      </w:r>
      <w:r>
        <w:t xml:space="preserve">“</w:t>
      </w:r>
      <w:r>
        <w:t xml:space="preserve">Generator Sales &amp; Service Chicago, IL</w:t>
      </w:r>
      <w:r>
        <w:t xml:space="preserve">”</w:t>
      </w:r>
      <w:r>
        <w:t xml:space="preserve"> </w:t>
      </w:r>
      <w:r>
        <w:t xml:space="preserve">— https://buckeyepowersales.com/locations/chicago/ — Chicago-area multi-brand generator service.</w:t>
      </w:r>
    </w:p>
    <w:p>
      <w:pPr>
        <w:numPr>
          <w:ilvl w:val="0"/>
          <w:numId w:val="1017"/>
        </w:numPr>
        <w:pStyle w:val="Compact"/>
      </w:pPr>
      <w:r>
        <w:t xml:space="preserve">Oxmaint —</w:t>
      </w:r>
      <w:r>
        <w:t xml:space="preserve"> </w:t>
      </w:r>
      <w:r>
        <w:t xml:space="preserve">“</w:t>
      </w:r>
      <w:r>
        <w:t xml:space="preserve">Municipal Generator Maintenance Programs: Backup Power Guide</w:t>
      </w:r>
      <w:r>
        <w:t xml:space="preserve">”</w:t>
      </w:r>
      <w:r>
        <w:t xml:space="preserve"> </w:t>
      </w:r>
      <w:r>
        <w:t xml:space="preserve">— https://oxmaint.com/industries/government/municipal-generator-maintenance-programs-backup-power-guide — reference for municipal program structures.</w:t>
      </w:r>
    </w:p>
    <w:p>
      <w:pPr>
        <w:numPr>
          <w:ilvl w:val="0"/>
          <w:numId w:val="1017"/>
        </w:numPr>
        <w:pStyle w:val="Compact"/>
      </w:pPr>
      <w:r>
        <w:t xml:space="preserve">MaintainX —</w:t>
      </w:r>
      <w:r>
        <w:t xml:space="preserve"> </w:t>
      </w:r>
      <w:r>
        <w:t xml:space="preserve">“</w:t>
      </w:r>
      <w:r>
        <w:t xml:space="preserve">Essential Guide to Understanding Your Maintenance Contract Options</w:t>
      </w:r>
      <w:r>
        <w:t xml:space="preserve">”</w:t>
      </w:r>
      <w:r>
        <w:t xml:space="preserve"> </w:t>
      </w:r>
      <w:r>
        <w:t xml:space="preserve">— https://www.getmaintainx.com/learning-center/maintenance-contracts — SLA and response-time benchmark reference.</w:t>
      </w:r>
    </w:p>
    <w:p>
      <w:pPr>
        <w:pStyle w:val="FirstParagraph"/>
      </w:pPr>
      <w:r>
        <w:rPr>
          <w:bCs/>
          <w:b/>
        </w:rPr>
        <w:t xml:space="preserve">Disclaimers:</w:t>
      </w:r>
      <w:r>
        <w:t xml:space="preserve"> </w:t>
      </w:r>
      <w:r>
        <w:t xml:space="preserve">Not all public sector contracts are publicly transparent; pricing and contract structure references herein are drawn from published commercial sources, cooperative-contract public pages, and peer agency portals. Other sources were reviewed but not found to be applicable to this scope. Specific City of Chicago internal spend, current active agreements, and line-item pricing must be confirmed by Department of Procurement Services staff before issuance of any solicitation. OEM authorizations and vendor certifications are current as of the reference date and must be re-verified at the time of award.</w:t>
      </w:r>
    </w:p>
    <w:p>
      <w:pPr>
        <w:pStyle w:val="BodyText"/>
      </w:pPr>
      <w:r>
        <w:rPr>
          <w:bCs/>
          <w:b/>
        </w:rPr>
        <w:t xml:space="preserve">Total Sources Consulted: 45</w:t>
      </w:r>
    </w:p>
    <w:p>
      <w:r>
        <w:pict>
          <v:rect style="width:0;height:1.5pt" o:hralign="center" o:hrstd="t" o:hr="t"/>
        </w:pict>
      </w:r>
    </w:p>
    <w:p>
      <w:pPr>
        <w:pStyle w:val="FirstParagraph"/>
      </w:pPr>
      <w:r>
        <w:t xml:space="preserve">— End of Report —</w:t>
      </w:r>
    </w:p>
    <w:p>
      <w:pPr>
        <w:pStyle w:val="BodyText"/>
      </w:pPr>
      <w:r>
        <w:t xml:space="preserve">Prepared by: James H. Kirby III, Procurement Research Analyst</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2026-04-22T18:13:42Z</dcterms:created>
  <dcterms:modified xsi:type="dcterms:W3CDTF">2026-04-22T18:13:42Z</dcterms:modified>
</cp:coreProperties>
</file>

<file path=docProps/custom.xml><?xml version="1.0" encoding="utf-8"?>
<Properties xmlns="http://schemas.openxmlformats.org/officeDocument/2006/custom-properties" xmlns:vt="http://schemas.openxmlformats.org/officeDocument/2006/docPropsVTypes"/>
</file>