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color w:val="002F6C"/>
          <w:sz w:val="44"/>
        </w:rPr>
        <w:t>How the Mapper Works — and How to Operate It</w:t>
      </w:r>
    </w:p>
    <w:p>
      <w:pPr>
        <w:spacing w:after="0"/>
        <w:pBdr>
          <w:bottom w:val="single" w:sz="18" w:space="1" w:color="DA291C"/>
        </w:pBdr>
      </w:pPr>
      <w:r>
        <w:rPr>
          <w:rFonts w:ascii="Calibri" w:hAnsi="Calibri"/>
          <w:i/>
          <w:color w:val="41B6E6"/>
          <w:sz w:val="26"/>
        </w:rPr>
        <w:t>NIGP-Sourced Procurement Category Mapper</w:t>
      </w:r>
    </w:p>
    <w:p>
      <w:pPr>
        <w:spacing w:after="240"/>
      </w:pPr>
      <w:r>
        <w:rPr>
          <w:rFonts w:ascii="Calibri" w:hAnsi="Calibri"/>
          <w:color w:val="595959"/>
          <w:sz w:val="18"/>
        </w:rPr>
        <w:t>Independent public-sector procurement tool  •  Prepared by James H. Kirby III, CSCP, MS-SCM  •  Version 2026-08-07  •  Expanded operate-and-trust edition</w:t>
      </w:r>
    </w:p>
    <w:p>
      <w:pPr>
        <w:spacing w:after="120"/>
      </w:pPr>
      <w:r>
        <w:rPr>
          <w:rFonts w:ascii="Calibri" w:hAnsi="Calibri"/>
          <w:sz w:val="22"/>
        </w:rPr>
        <w:t>Who this is for: leadership who need to understand and stand behind the tool's output, and procurement staff who operate it day to day.</w:t>
      </w:r>
    </w:p>
    <w:tbl>
      <w:tblPr>
        <w:tblW w:type="auto" w:w="0"/>
        <w:tblLayout w:type="autofit"/>
        <w:tblLook w:firstColumn="1" w:firstRow="1" w:lastColumn="0" w:lastRow="0" w:noHBand="0" w:noVBand="1" w:val="04A0"/>
      </w:tblPr>
      <w:tblGrid>
        <w:gridCol w:w="10200"/>
      </w:tblGrid>
      <w:tr>
        <w:tc>
          <w:tcPr>
            <w:tcW w:type="dxa" w:w="10200"/>
            <w:shd w:val="clear" w:color="auto" w:fill="D6EEF9"/>
            <w:tcMar>
              <w:top w:w="120" w:type="dxa"/>
              <w:left w:w="120" w:type="dxa"/>
              <w:bottom w:w="120" w:type="dxa"/>
              <w:right w:w="120" w:type="dxa"/>
            </w:tcMar>
          </w:tcPr>
          <w:p>
            <w:pPr>
              <w:spacing w:after="40"/>
            </w:pPr>
            <w:r/>
            <w:r>
              <w:rPr>
                <w:rFonts w:ascii="Calibri" w:hAnsi="Calibri"/>
                <w:b/>
                <w:color w:val="DA291C"/>
                <w:sz w:val="22"/>
              </w:rPr>
              <w:t>THE ONE-PARAGRAPH SUMMARY</w:t>
            </w:r>
          </w:p>
          <w:p>
            <w:r>
              <w:rPr>
                <w:rFonts w:ascii="Calibri" w:hAnsi="Calibri"/>
                <w:color w:val="002F6C"/>
                <w:sz w:val="22"/>
              </w:rPr>
              <w:t>This tool takes a plain-English procurement description — "elevator maintenance," "bulk rock salt," "chain link fence repair" — and assigns a standardized commodity classification: a business-friendly Business Category, an industry-standard NIGP 3-digit Class, and (where the text is specific enough) a 5-digit NIGP Item. It was validated on 784,556 historical purchase-order and invoice-line records and maps 100% of them. Every answer carries the exact rule that produced it, a confidence level, and a plain-language reason. No AI model is called when you use it — AI was used once, at build time, to help write rules, then frozen. That is what makes the output defensible in an audit.</w:t>
            </w:r>
          </w:p>
        </w:tc>
      </w:tr>
    </w:tbl>
    <w:p>
      <w:pPr>
        <w:spacing w:after="120"/>
      </w:pPr>
    </w:p>
    <w:p>
      <w:pPr>
        <w:pBdr>
          <w:bottom w:val="single" w:sz="18" w:space="1" w:color="41B6E6"/>
        </w:pBdr>
        <w:spacing w:before="280" w:after="120"/>
      </w:pPr>
      <w:r>
        <w:rPr>
          <w:rFonts w:ascii="Calibri" w:hAnsi="Calibri"/>
          <w:b/>
          <w:color w:val="002F6C"/>
          <w:sz w:val="32"/>
        </w:rPr>
        <w:t>1.  WHAT PROBLEM THIS SOLVES</w:t>
      </w:r>
    </w:p>
    <w:p>
      <w:pPr>
        <w:spacing w:after="120"/>
      </w:pPr>
      <w:r>
        <w:rPr>
          <w:rFonts w:ascii="Calibri" w:hAnsi="Calibri"/>
          <w:sz w:val="22"/>
        </w:rPr>
        <w:t>Most public agencies never build their own classification of what they buy. Without one, the basic strategic questions can't be answered with confidence: where spend actually goes by commodity, what is bought across departments without coordination, and whether any single purchase can be traced, categorized, and defended to an auditor.</w:t>
      </w:r>
    </w:p>
    <w:p>
      <w:pPr>
        <w:spacing w:after="120"/>
      </w:pPr>
      <w:r>
        <w:rPr>
          <w:rFonts w:ascii="Calibri" w:hAnsi="Calibri"/>
          <w:sz w:val="22"/>
        </w:rPr>
        <w:t>This mapper is that missing classification layer. It is independent — it does not rely on any prior consultant's labels — and it is reusable: it re-points at any future spend extract or contract portfolio without re-running AI or hiring anyone.</w:t>
      </w:r>
    </w:p>
    <w:p>
      <w:pPr>
        <w:pBdr>
          <w:bottom w:val="single" w:sz="18" w:space="1" w:color="41B6E6"/>
        </w:pBdr>
        <w:spacing w:before="280" w:after="120"/>
      </w:pPr>
      <w:r>
        <w:rPr>
          <w:rFonts w:ascii="Calibri" w:hAnsi="Calibri"/>
          <w:b/>
          <w:color w:val="002F6C"/>
          <w:sz w:val="32"/>
        </w:rPr>
        <w:t>2.  THE TAXONOMY — THREE LEVELS ON EVERY ROW</w:t>
      </w:r>
    </w:p>
    <w:p>
      <w:pPr>
        <w:spacing w:after="120"/>
      </w:pPr>
      <w:r>
        <w:rPr>
          <w:rFonts w:ascii="Calibri" w:hAnsi="Calibri"/>
          <w:sz w:val="22"/>
        </w:rPr>
        <w:t>Every classified record carries three levels of classification, serving two audiences at once: leadership reads the top level; auditors and sourcing analysts use the NIGP codes underneath.</w:t>
      </w:r>
    </w:p>
    <w:p>
      <w:pPr>
        <w:pStyle w:val="ListBullet"/>
      </w:pPr>
      <w:r>
        <w:rPr>
          <w:rFonts w:ascii="Calibri" w:hAnsi="Calibri"/>
          <w:b/>
          <w:color w:val="002F6C"/>
          <w:sz w:val="22"/>
        </w:rPr>
        <w:t>Level 1</w:t>
      </w:r>
      <w:r>
        <w:rPr>
          <w:rFonts w:ascii="Calibri" w:hAnsi="Calibri"/>
          <w:sz w:val="22"/>
        </w:rPr>
        <w:t xml:space="preserve">  Level 1 — Business Category (17 buckets — the plain-English answer)</w:t>
      </w:r>
    </w:p>
    <w:p>
      <w:pPr>
        <w:pStyle w:val="ListBullet"/>
      </w:pPr>
      <w:r>
        <w:rPr>
          <w:rFonts w:ascii="Calibri" w:hAnsi="Calibri"/>
          <w:b/>
          <w:color w:val="002F6C"/>
          <w:sz w:val="22"/>
        </w:rPr>
        <w:t>Level 2</w:t>
      </w:r>
      <w:r>
        <w:rPr>
          <w:rFonts w:ascii="Calibri" w:hAnsi="Calibri"/>
          <w:sz w:val="22"/>
        </w:rPr>
        <w:t xml:space="preserve">  Level 2 — NIGP 3-digit Class (industry-standard commodity class)</w:t>
      </w:r>
    </w:p>
    <w:p>
      <w:pPr>
        <w:pStyle w:val="ListBullet"/>
      </w:pPr>
      <w:r>
        <w:rPr>
          <w:rFonts w:ascii="Calibri" w:hAnsi="Calibri"/>
          <w:b/>
          <w:color w:val="002F6C"/>
          <w:sz w:val="22"/>
        </w:rPr>
        <w:t>Level 3</w:t>
      </w:r>
      <w:r>
        <w:rPr>
          <w:rFonts w:ascii="Calibri" w:hAnsi="Calibri"/>
          <w:sz w:val="22"/>
        </w:rPr>
        <w:t xml:space="preserve">  Level 3 — NIGP 5-digit Item (specific item, when the text supports it)</w:t>
      </w:r>
    </w:p>
    <w:p>
      <w:pPr>
        <w:spacing w:before="200" w:after="40"/>
      </w:pPr>
      <w:r>
        <w:rPr>
          <w:rFonts w:ascii="Calibri" w:hAnsi="Calibri"/>
          <w:b/>
          <w:color w:val="41B6E6"/>
          <w:sz w:val="26"/>
        </w:rPr>
        <w:t>The 17 Business Categories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0"/>
        <w:gridCol w:w="3400"/>
        <w:gridCol w:w="3400"/>
      </w:tblGrid>
      <w:tr>
        <w:tc>
          <w:tcPr>
            <w:tcW w:type="dxa" w:w="510"/>
            <w:shd w:val="clear" w:color="auto" w:fill="002F6C"/>
          </w:tcPr>
          <w:p>
            <w:r>
              <w:rPr>
                <w:rFonts w:ascii="Calibri" w:hAnsi="Calibri"/>
                <w:b/>
                <w:color w:val="FFFFFF"/>
                <w:sz w:val="20"/>
              </w:rPr>
              <w:t>#</w:t>
            </w:r>
          </w:p>
        </w:tc>
        <w:tc>
          <w:tcPr>
            <w:tcW w:type="dxa" w:w="3175"/>
            <w:shd w:val="clear" w:color="auto" w:fill="002F6C"/>
          </w:tcPr>
          <w:p>
            <w:r>
              <w:rPr>
                <w:rFonts w:ascii="Calibri" w:hAnsi="Calibri"/>
                <w:b/>
                <w:color w:val="FFFFFF"/>
                <w:sz w:val="20"/>
              </w:rPr>
              <w:t>Business Category</w:t>
            </w:r>
          </w:p>
        </w:tc>
        <w:tc>
          <w:tcPr>
            <w:tcW w:type="dxa" w:w="5386"/>
            <w:shd w:val="clear" w:color="auto" w:fill="002F6C"/>
          </w:tcPr>
          <w:p>
            <w:r>
              <w:rPr>
                <w:rFonts w:ascii="Calibri" w:hAnsi="Calibri"/>
                <w:b/>
                <w:color w:val="FFFFFF"/>
                <w:sz w:val="20"/>
              </w:rPr>
              <w:t>Typical contents</w:t>
            </w:r>
          </w:p>
        </w:tc>
      </w:tr>
      <w:tr>
        <w:tc>
          <w:tcPr>
            <w:tcW w:type="dxa" w:w="510"/>
            <w:shd w:val="clear" w:color="auto" w:fill="D6EEF9"/>
          </w:tcPr>
          <w:p>
            <w:r>
              <w:rPr>
                <w:rFonts w:ascii="Calibri" w:hAnsi="Calibri"/>
                <w:sz w:val="19"/>
              </w:rPr>
              <w:t>1</w:t>
            </w:r>
          </w:p>
        </w:tc>
        <w:tc>
          <w:tcPr>
            <w:tcW w:type="dxa" w:w="3175"/>
            <w:shd w:val="clear" w:color="auto" w:fill="D6EEF9"/>
          </w:tcPr>
          <w:p>
            <w:r>
              <w:rPr>
                <w:rFonts w:ascii="Calibri" w:hAnsi="Calibri"/>
                <w:sz w:val="19"/>
              </w:rPr>
              <w:t>Facilities Operations &amp; Maintenance</w:t>
            </w:r>
          </w:p>
        </w:tc>
        <w:tc>
          <w:tcPr>
            <w:tcW w:type="dxa" w:w="5386"/>
            <w:shd w:val="clear" w:color="auto" w:fill="D6EEF9"/>
          </w:tcPr>
          <w:p>
            <w:r>
              <w:rPr>
                <w:rFonts w:ascii="Calibri" w:hAnsi="Calibri"/>
                <w:sz w:val="19"/>
              </w:rPr>
              <w:t>HVAC, plumbing, lighting, doors, electrical supplies</w:t>
            </w:r>
          </w:p>
        </w:tc>
      </w:tr>
      <w:tr>
        <w:tc>
          <w:tcPr>
            <w:tcW w:type="dxa" w:w="510"/>
          </w:tcPr>
          <w:p>
            <w:r>
              <w:rPr>
                <w:rFonts w:ascii="Calibri" w:hAnsi="Calibri"/>
                <w:sz w:val="19"/>
              </w:rPr>
              <w:t>2</w:t>
            </w:r>
          </w:p>
        </w:tc>
        <w:tc>
          <w:tcPr>
            <w:tcW w:type="dxa" w:w="3175"/>
          </w:tcPr>
          <w:p>
            <w:r>
              <w:rPr>
                <w:rFonts w:ascii="Calibri" w:hAnsi="Calibri"/>
                <w:sz w:val="19"/>
              </w:rPr>
              <w:t>Public Safety, Uniforms &amp; PPE</w:t>
            </w:r>
          </w:p>
        </w:tc>
        <w:tc>
          <w:tcPr>
            <w:tcW w:type="dxa" w:w="5386"/>
          </w:tcPr>
          <w:p>
            <w:r>
              <w:rPr>
                <w:rFonts w:ascii="Calibri" w:hAnsi="Calibri"/>
                <w:sz w:val="19"/>
              </w:rPr>
              <w:t>Uniforms, fire equipment, gloves, masks, body armor, ammunition</w:t>
            </w:r>
          </w:p>
        </w:tc>
      </w:tr>
      <w:tr>
        <w:tc>
          <w:tcPr>
            <w:tcW w:type="dxa" w:w="510"/>
            <w:shd w:val="clear" w:color="auto" w:fill="D6EEF9"/>
          </w:tcPr>
          <w:p>
            <w:r>
              <w:rPr>
                <w:rFonts w:ascii="Calibri" w:hAnsi="Calibri"/>
                <w:sz w:val="19"/>
              </w:rPr>
              <w:t>3</w:t>
            </w:r>
          </w:p>
        </w:tc>
        <w:tc>
          <w:tcPr>
            <w:tcW w:type="dxa" w:w="3175"/>
            <w:shd w:val="clear" w:color="auto" w:fill="D6EEF9"/>
          </w:tcPr>
          <w:p>
            <w:r>
              <w:rPr>
                <w:rFonts w:ascii="Calibri" w:hAnsi="Calibri"/>
                <w:sz w:val="19"/>
              </w:rPr>
              <w:t>Construction Materials</w:t>
            </w:r>
          </w:p>
        </w:tc>
        <w:tc>
          <w:tcPr>
            <w:tcW w:type="dxa" w:w="5386"/>
            <w:shd w:val="clear" w:color="auto" w:fill="D6EEF9"/>
          </w:tcPr>
          <w:p>
            <w:r>
              <w:rPr>
                <w:rFonts w:ascii="Calibri" w:hAnsi="Calibri"/>
                <w:sz w:val="19"/>
              </w:rPr>
              <w:t>Concrete, asphalt, steel, pipe, rebar, pavement marking</w:t>
            </w:r>
          </w:p>
        </w:tc>
      </w:tr>
      <w:tr>
        <w:tc>
          <w:tcPr>
            <w:tcW w:type="dxa" w:w="510"/>
          </w:tcPr>
          <w:p>
            <w:r>
              <w:rPr>
                <w:rFonts w:ascii="Calibri" w:hAnsi="Calibri"/>
                <w:sz w:val="19"/>
              </w:rPr>
              <w:t>4</w:t>
            </w:r>
          </w:p>
        </w:tc>
        <w:tc>
          <w:tcPr>
            <w:tcW w:type="dxa" w:w="3175"/>
          </w:tcPr>
          <w:p>
            <w:r>
              <w:rPr>
                <w:rFonts w:ascii="Calibri" w:hAnsi="Calibri"/>
                <w:sz w:val="19"/>
              </w:rPr>
              <w:t>Vehicles &amp; Fleet</w:t>
            </w:r>
          </w:p>
        </w:tc>
        <w:tc>
          <w:tcPr>
            <w:tcW w:type="dxa" w:w="5386"/>
          </w:tcPr>
          <w:p>
            <w:r>
              <w:rPr>
                <w:rFonts w:ascii="Calibri" w:hAnsi="Calibri"/>
                <w:sz w:val="19"/>
              </w:rPr>
              <w:t>Vehicles, fleet parts, repairs, tires, fuel</w:t>
            </w:r>
          </w:p>
        </w:tc>
      </w:tr>
      <w:tr>
        <w:tc>
          <w:tcPr>
            <w:tcW w:type="dxa" w:w="510"/>
            <w:shd w:val="clear" w:color="auto" w:fill="D6EEF9"/>
          </w:tcPr>
          <w:p>
            <w:r>
              <w:rPr>
                <w:rFonts w:ascii="Calibri" w:hAnsi="Calibri"/>
                <w:sz w:val="19"/>
              </w:rPr>
              <w:t>5</w:t>
            </w:r>
          </w:p>
        </w:tc>
        <w:tc>
          <w:tcPr>
            <w:tcW w:type="dxa" w:w="3175"/>
            <w:shd w:val="clear" w:color="auto" w:fill="D6EEF9"/>
          </w:tcPr>
          <w:p>
            <w:r>
              <w:rPr>
                <w:rFonts w:ascii="Calibri" w:hAnsi="Calibri"/>
                <w:sz w:val="19"/>
              </w:rPr>
              <w:t>Professional &amp; Administrative Services</w:t>
            </w:r>
          </w:p>
        </w:tc>
        <w:tc>
          <w:tcPr>
            <w:tcW w:type="dxa" w:w="5386"/>
            <w:shd w:val="clear" w:color="auto" w:fill="D6EEF9"/>
          </w:tcPr>
          <w:p>
            <w:r>
              <w:rPr>
                <w:rFonts w:ascii="Calibri" w:hAnsi="Calibri"/>
                <w:sz w:val="19"/>
              </w:rPr>
              <w:t>Management, security guards, translation, legal/records</w:t>
            </w:r>
          </w:p>
        </w:tc>
      </w:tr>
      <w:tr>
        <w:tc>
          <w:tcPr>
            <w:tcW w:type="dxa" w:w="510"/>
          </w:tcPr>
          <w:p>
            <w:r>
              <w:rPr>
                <w:rFonts w:ascii="Calibri" w:hAnsi="Calibri"/>
                <w:sz w:val="19"/>
              </w:rPr>
              <w:t>6</w:t>
            </w:r>
          </w:p>
        </w:tc>
        <w:tc>
          <w:tcPr>
            <w:tcW w:type="dxa" w:w="3175"/>
          </w:tcPr>
          <w:p>
            <w:r>
              <w:rPr>
                <w:rFonts w:ascii="Calibri" w:hAnsi="Calibri"/>
                <w:sz w:val="19"/>
              </w:rPr>
              <w:t>Office, Print &amp; Marketing</w:t>
            </w:r>
          </w:p>
        </w:tc>
        <w:tc>
          <w:tcPr>
            <w:tcW w:type="dxa" w:w="5386"/>
          </w:tcPr>
          <w:p>
            <w:r>
              <w:rPr>
                <w:rFonts w:ascii="Calibri" w:hAnsi="Calibri"/>
                <w:sz w:val="19"/>
              </w:rPr>
              <w:t>Office supplies, printing, advertising, signage</w:t>
            </w:r>
          </w:p>
        </w:tc>
      </w:tr>
      <w:tr>
        <w:tc>
          <w:tcPr>
            <w:tcW w:type="dxa" w:w="510"/>
            <w:shd w:val="clear" w:color="auto" w:fill="D6EEF9"/>
          </w:tcPr>
          <w:p>
            <w:r>
              <w:rPr>
                <w:rFonts w:ascii="Calibri" w:hAnsi="Calibri"/>
                <w:sz w:val="19"/>
              </w:rPr>
              <w:t>7</w:t>
            </w:r>
          </w:p>
        </w:tc>
        <w:tc>
          <w:tcPr>
            <w:tcW w:type="dxa" w:w="3175"/>
            <w:shd w:val="clear" w:color="auto" w:fill="D6EEF9"/>
          </w:tcPr>
          <w:p>
            <w:r>
              <w:rPr>
                <w:rFonts w:ascii="Calibri" w:hAnsi="Calibri"/>
                <w:sz w:val="19"/>
              </w:rPr>
              <w:t>Equipment Rental &amp; Leasing</w:t>
            </w:r>
          </w:p>
        </w:tc>
        <w:tc>
          <w:tcPr>
            <w:tcW w:type="dxa" w:w="5386"/>
            <w:shd w:val="clear" w:color="auto" w:fill="D6EEF9"/>
          </w:tcPr>
          <w:p>
            <w:r>
              <w:rPr>
                <w:rFonts w:ascii="Calibri" w:hAnsi="Calibri"/>
                <w:sz w:val="19"/>
              </w:rPr>
              <w:t>Equipment rentals, copier leases, traffic-control rentals</w:t>
            </w:r>
          </w:p>
        </w:tc>
      </w:tr>
      <w:tr>
        <w:tc>
          <w:tcPr>
            <w:tcW w:type="dxa" w:w="510"/>
          </w:tcPr>
          <w:p>
            <w:r>
              <w:rPr>
                <w:rFonts w:ascii="Calibri" w:hAnsi="Calibri"/>
                <w:sz w:val="19"/>
              </w:rPr>
              <w:t>8</w:t>
            </w:r>
          </w:p>
        </w:tc>
        <w:tc>
          <w:tcPr>
            <w:tcW w:type="dxa" w:w="3175"/>
          </w:tcPr>
          <w:p>
            <w:r>
              <w:rPr>
                <w:rFonts w:ascii="Calibri" w:hAnsi="Calibri"/>
                <w:sz w:val="19"/>
              </w:rPr>
              <w:t>Janitorial, Sanitation &amp; Waste</w:t>
            </w:r>
          </w:p>
        </w:tc>
        <w:tc>
          <w:tcPr>
            <w:tcW w:type="dxa" w:w="5386"/>
          </w:tcPr>
          <w:p>
            <w:r>
              <w:rPr>
                <w:rFonts w:ascii="Calibri" w:hAnsi="Calibri"/>
                <w:sz w:val="19"/>
              </w:rPr>
              <w:t>Cleaning supplies, paper products, carpet, dumpsters, disposal</w:t>
            </w:r>
          </w:p>
        </w:tc>
      </w:tr>
      <w:tr>
        <w:tc>
          <w:tcPr>
            <w:tcW w:type="dxa" w:w="510"/>
            <w:shd w:val="clear" w:color="auto" w:fill="D6EEF9"/>
          </w:tcPr>
          <w:p>
            <w:r>
              <w:rPr>
                <w:rFonts w:ascii="Calibri" w:hAnsi="Calibri"/>
                <w:sz w:val="19"/>
              </w:rPr>
              <w:t>9</w:t>
            </w:r>
          </w:p>
        </w:tc>
        <w:tc>
          <w:tcPr>
            <w:tcW w:type="dxa" w:w="3175"/>
            <w:shd w:val="clear" w:color="auto" w:fill="D6EEF9"/>
          </w:tcPr>
          <w:p>
            <w:r>
              <w:rPr>
                <w:rFonts w:ascii="Calibri" w:hAnsi="Calibri"/>
                <w:sz w:val="19"/>
              </w:rPr>
              <w:t>Heavy Equipment &amp; Machinery</w:t>
            </w:r>
          </w:p>
        </w:tc>
        <w:tc>
          <w:tcPr>
            <w:tcW w:type="dxa" w:w="5386"/>
            <w:shd w:val="clear" w:color="auto" w:fill="D6EEF9"/>
          </w:tcPr>
          <w:p>
            <w:r>
              <w:rPr>
                <w:rFonts w:ascii="Calibri" w:hAnsi="Calibri"/>
                <w:sz w:val="19"/>
              </w:rPr>
              <w:t>Loaders, sweepers, lifts, forklifts, sprayers (purchased)</w:t>
            </w:r>
          </w:p>
        </w:tc>
      </w:tr>
      <w:tr>
        <w:tc>
          <w:tcPr>
            <w:tcW w:type="dxa" w:w="510"/>
          </w:tcPr>
          <w:p>
            <w:r>
              <w:rPr>
                <w:rFonts w:ascii="Calibri" w:hAnsi="Calibri"/>
                <w:sz w:val="19"/>
              </w:rPr>
              <w:t>10</w:t>
            </w:r>
          </w:p>
        </w:tc>
        <w:tc>
          <w:tcPr>
            <w:tcW w:type="dxa" w:w="3175"/>
          </w:tcPr>
          <w:p>
            <w:r>
              <w:rPr>
                <w:rFonts w:ascii="Calibri" w:hAnsi="Calibri"/>
                <w:sz w:val="19"/>
              </w:rPr>
              <w:t>IT, Telecom &amp; Audio/Visual</w:t>
            </w:r>
          </w:p>
        </w:tc>
        <w:tc>
          <w:tcPr>
            <w:tcW w:type="dxa" w:w="5386"/>
          </w:tcPr>
          <w:p>
            <w:r>
              <w:rPr>
                <w:rFonts w:ascii="Calibri" w:hAnsi="Calibri"/>
                <w:sz w:val="19"/>
              </w:rPr>
              <w:t>Network services, telephony, A/V, printers, toner</w:t>
            </w:r>
          </w:p>
        </w:tc>
      </w:tr>
      <w:tr>
        <w:tc>
          <w:tcPr>
            <w:tcW w:type="dxa" w:w="510"/>
            <w:shd w:val="clear" w:color="auto" w:fill="D6EEF9"/>
          </w:tcPr>
          <w:p>
            <w:r>
              <w:rPr>
                <w:rFonts w:ascii="Calibri" w:hAnsi="Calibri"/>
                <w:sz w:val="19"/>
              </w:rPr>
              <w:t>11</w:t>
            </w:r>
          </w:p>
        </w:tc>
        <w:tc>
          <w:tcPr>
            <w:tcW w:type="dxa" w:w="3175"/>
            <w:shd w:val="clear" w:color="auto" w:fill="D6EEF9"/>
          </w:tcPr>
          <w:p>
            <w:r>
              <w:rPr>
                <w:rFonts w:ascii="Calibri" w:hAnsi="Calibri"/>
                <w:sz w:val="19"/>
              </w:rPr>
              <w:t>Landscaping, Grounds &amp; Irrigation</w:t>
            </w:r>
          </w:p>
        </w:tc>
        <w:tc>
          <w:tcPr>
            <w:tcW w:type="dxa" w:w="5386"/>
            <w:shd w:val="clear" w:color="auto" w:fill="D6EEF9"/>
          </w:tcPr>
          <w:p>
            <w:r>
              <w:rPr>
                <w:rFonts w:ascii="Calibri" w:hAnsi="Calibri"/>
                <w:sz w:val="19"/>
              </w:rPr>
              <w:t>Landscape services, irrigation, fencing, window washing, snow removal</w:t>
            </w:r>
          </w:p>
        </w:tc>
      </w:tr>
      <w:tr>
        <w:tc>
          <w:tcPr>
            <w:tcW w:type="dxa" w:w="510"/>
          </w:tcPr>
          <w:p>
            <w:r>
              <w:rPr>
                <w:rFonts w:ascii="Calibri" w:hAnsi="Calibri"/>
                <w:sz w:val="19"/>
              </w:rPr>
              <w:t>12</w:t>
            </w:r>
          </w:p>
        </w:tc>
        <w:tc>
          <w:tcPr>
            <w:tcW w:type="dxa" w:w="3175"/>
          </w:tcPr>
          <w:p>
            <w:r>
              <w:rPr>
                <w:rFonts w:ascii="Calibri" w:hAnsi="Calibri"/>
                <w:sz w:val="19"/>
              </w:rPr>
              <w:t>Chemicals &amp; Water Treatment</w:t>
            </w:r>
          </w:p>
        </w:tc>
        <w:tc>
          <w:tcPr>
            <w:tcW w:type="dxa" w:w="5386"/>
          </w:tcPr>
          <w:p>
            <w:r>
              <w:rPr>
                <w:rFonts w:ascii="Calibri" w:hAnsi="Calibri"/>
                <w:sz w:val="19"/>
              </w:rPr>
              <w:t>Industrial chemicals, water treatment, deicers / road salt</w:t>
            </w:r>
          </w:p>
        </w:tc>
      </w:tr>
      <w:tr>
        <w:tc>
          <w:tcPr>
            <w:tcW w:type="dxa" w:w="510"/>
            <w:shd w:val="clear" w:color="auto" w:fill="D6EEF9"/>
          </w:tcPr>
          <w:p>
            <w:r>
              <w:rPr>
                <w:rFonts w:ascii="Calibri" w:hAnsi="Calibri"/>
                <w:sz w:val="19"/>
              </w:rPr>
              <w:t>13</w:t>
            </w:r>
          </w:p>
        </w:tc>
        <w:tc>
          <w:tcPr>
            <w:tcW w:type="dxa" w:w="3175"/>
            <w:shd w:val="clear" w:color="auto" w:fill="D6EEF9"/>
          </w:tcPr>
          <w:p>
            <w:r>
              <w:rPr>
                <w:rFonts w:ascii="Calibri" w:hAnsi="Calibri"/>
                <w:sz w:val="19"/>
              </w:rPr>
              <w:t>Medical &amp; Health Services</w:t>
            </w:r>
          </w:p>
        </w:tc>
        <w:tc>
          <w:tcPr>
            <w:tcW w:type="dxa" w:w="5386"/>
            <w:shd w:val="clear" w:color="auto" w:fill="D6EEF9"/>
          </w:tcPr>
          <w:p>
            <w:r>
              <w:rPr>
                <w:rFonts w:ascii="Calibri" w:hAnsi="Calibri"/>
                <w:sz w:val="19"/>
              </w:rPr>
              <w:t>Medical gases, defibrillators/AEDs, exam services</w:t>
            </w:r>
          </w:p>
        </w:tc>
      </w:tr>
      <w:tr>
        <w:tc>
          <w:tcPr>
            <w:tcW w:type="dxa" w:w="510"/>
          </w:tcPr>
          <w:p>
            <w:r>
              <w:rPr>
                <w:rFonts w:ascii="Calibri" w:hAnsi="Calibri"/>
                <w:sz w:val="19"/>
              </w:rPr>
              <w:t>14</w:t>
            </w:r>
          </w:p>
        </w:tc>
        <w:tc>
          <w:tcPr>
            <w:tcW w:type="dxa" w:w="3175"/>
          </w:tcPr>
          <w:p>
            <w:r>
              <w:rPr>
                <w:rFonts w:ascii="Calibri" w:hAnsi="Calibri"/>
                <w:sz w:val="19"/>
              </w:rPr>
              <w:t>Animal Care &amp; Veterinary</w:t>
            </w:r>
          </w:p>
        </w:tc>
        <w:tc>
          <w:tcPr>
            <w:tcW w:type="dxa" w:w="5386"/>
          </w:tcPr>
          <w:p>
            <w:r>
              <w:rPr>
                <w:rFonts w:ascii="Calibri" w:hAnsi="Calibri"/>
                <w:sz w:val="19"/>
              </w:rPr>
              <w:t>Veterinary supplies, animal feed, beekeeping</w:t>
            </w:r>
          </w:p>
        </w:tc>
      </w:tr>
      <w:tr>
        <w:tc>
          <w:tcPr>
            <w:tcW w:type="dxa" w:w="510"/>
            <w:shd w:val="clear" w:color="auto" w:fill="D6EEF9"/>
          </w:tcPr>
          <w:p>
            <w:r>
              <w:rPr>
                <w:rFonts w:ascii="Calibri" w:hAnsi="Calibri"/>
                <w:sz w:val="19"/>
              </w:rPr>
              <w:t>15</w:t>
            </w:r>
          </w:p>
        </w:tc>
        <w:tc>
          <w:tcPr>
            <w:tcW w:type="dxa" w:w="3175"/>
            <w:shd w:val="clear" w:color="auto" w:fill="D6EEF9"/>
          </w:tcPr>
          <w:p>
            <w:r>
              <w:rPr>
                <w:rFonts w:ascii="Calibri" w:hAnsi="Calibri"/>
                <w:sz w:val="19"/>
              </w:rPr>
              <w:t>Furniture &amp; Furnishings</w:t>
            </w:r>
          </w:p>
        </w:tc>
        <w:tc>
          <w:tcPr>
            <w:tcW w:type="dxa" w:w="5386"/>
            <w:shd w:val="clear" w:color="auto" w:fill="D6EEF9"/>
          </w:tcPr>
          <w:p>
            <w:r>
              <w:rPr>
                <w:rFonts w:ascii="Calibri" w:hAnsi="Calibri"/>
                <w:sz w:val="19"/>
              </w:rPr>
              <w:t>Office furniture, mattresses, fitness equipment</w:t>
            </w:r>
          </w:p>
        </w:tc>
      </w:tr>
      <w:tr>
        <w:tc>
          <w:tcPr>
            <w:tcW w:type="dxa" w:w="510"/>
          </w:tcPr>
          <w:p>
            <w:r>
              <w:rPr>
                <w:rFonts w:ascii="Calibri" w:hAnsi="Calibri"/>
                <w:sz w:val="19"/>
              </w:rPr>
              <w:t>16</w:t>
            </w:r>
          </w:p>
        </w:tc>
        <w:tc>
          <w:tcPr>
            <w:tcW w:type="dxa" w:w="3175"/>
          </w:tcPr>
          <w:p>
            <w:r>
              <w:rPr>
                <w:rFonts w:ascii="Calibri" w:hAnsi="Calibri"/>
                <w:sz w:val="19"/>
              </w:rPr>
              <w:t>Construction &amp; Trades Services</w:t>
            </w:r>
          </w:p>
        </w:tc>
        <w:tc>
          <w:tcPr>
            <w:tcW w:type="dxa" w:w="5386"/>
          </w:tcPr>
          <w:p>
            <w:r>
              <w:rPr>
                <w:rFonts w:ascii="Calibri" w:hAnsi="Calibri"/>
                <w:sz w:val="19"/>
              </w:rPr>
              <w:t>Bridge construction, expansion-joint repair, tradesmen</w:t>
            </w:r>
          </w:p>
        </w:tc>
      </w:tr>
      <w:tr>
        <w:tc>
          <w:tcPr>
            <w:tcW w:type="dxa" w:w="510"/>
            <w:shd w:val="clear" w:color="auto" w:fill="D6EEF9"/>
          </w:tcPr>
          <w:p>
            <w:r>
              <w:rPr>
                <w:rFonts w:ascii="Calibri" w:hAnsi="Calibri"/>
                <w:sz w:val="19"/>
              </w:rPr>
              <w:t>17</w:t>
            </w:r>
          </w:p>
        </w:tc>
        <w:tc>
          <w:tcPr>
            <w:tcW w:type="dxa" w:w="3175"/>
            <w:shd w:val="clear" w:color="auto" w:fill="D6EEF9"/>
          </w:tcPr>
          <w:p>
            <w:r>
              <w:rPr>
                <w:rFonts w:ascii="Calibri" w:hAnsi="Calibri"/>
                <w:sz w:val="19"/>
              </w:rPr>
              <w:t>Grants &amp; Pass-Through Funding</w:t>
            </w:r>
          </w:p>
        </w:tc>
        <w:tc>
          <w:tcPr>
            <w:tcW w:type="dxa" w:w="5386"/>
            <w:shd w:val="clear" w:color="auto" w:fill="D6EEF9"/>
          </w:tcPr>
          <w:p>
            <w:r>
              <w:rPr>
                <w:rFonts w:ascii="Calibri" w:hAnsi="Calibri"/>
                <w:sz w:val="19"/>
              </w:rPr>
              <w:t>Subgrant disbursements (not commodity purchases)</w:t>
            </w:r>
          </w:p>
        </w:tc>
      </w:tr>
    </w:tbl>
    <w:tbl>
      <w:tblPr>
        <w:tblW w:type="auto" w:w="0"/>
        <w:tblLayout w:type="autofit"/>
        <w:tblLook w:firstColumn="1" w:firstRow="1" w:lastColumn="0" w:lastRow="0" w:noHBand="0" w:noVBand="1" w:val="04A0"/>
      </w:tblPr>
      <w:tblGrid>
        <w:gridCol w:w="10200"/>
      </w:tblGrid>
      <w:tr>
        <w:tc>
          <w:tcPr>
            <w:tcW w:type="dxa" w:w="10200"/>
            <w:shd w:val="clear" w:color="auto" w:fill="D6EEF9"/>
            <w:tcMar>
              <w:top w:w="120" w:type="dxa"/>
              <w:left w:w="120" w:type="dxa"/>
              <w:bottom w:w="120" w:type="dxa"/>
              <w:right w:w="120" w:type="dxa"/>
            </w:tcMar>
          </w:tcPr>
          <w:p>
            <w:pPr>
              <w:spacing w:after="40"/>
            </w:pPr>
            <w:r/>
            <w:r>
              <w:rPr>
                <w:rFonts w:ascii="Calibri" w:hAnsi="Calibri"/>
                <w:b/>
                <w:color w:val="DA291C"/>
                <w:sz w:val="22"/>
              </w:rPr>
              <w:t>WHY CATEGORY 17 IS SEPARATE</w:t>
            </w:r>
          </w:p>
          <w:p>
            <w:r>
              <w:rPr>
                <w:rFonts w:ascii="Calibri" w:hAnsi="Calibri"/>
                <w:color w:val="002F6C"/>
                <w:sz w:val="22"/>
              </w:rPr>
              <w:t>Subgrants are financial transfers to subrecipients, not commodity buys. They have different governance and audit treatment, so mixing them into "professional services" would obscure real structure. This category has no NIGP class because NIGP is a commodity framework with no "subgrants" code.</w:t>
            </w:r>
          </w:p>
        </w:tc>
      </w:tr>
    </w:tbl>
    <w:p>
      <w:pPr>
        <w:spacing w:after="120"/>
      </w:pPr>
    </w:p>
    <w:p>
      <w:pPr>
        <w:pBdr>
          <w:bottom w:val="single" w:sz="18" w:space="1" w:color="41B6E6"/>
        </w:pBdr>
        <w:spacing w:before="280" w:after="120"/>
      </w:pPr>
      <w:r>
        <w:rPr>
          <w:rFonts w:ascii="Calibri" w:hAnsi="Calibri"/>
          <w:b/>
          <w:color w:val="002F6C"/>
          <w:sz w:val="32"/>
        </w:rPr>
        <w:t>3.  HOW THE MAPPER WAS BUILT — THE PART THAT EARNS YOUR CONFIDENCE</w:t>
      </w:r>
    </w:p>
    <w:p>
      <w:pPr>
        <w:spacing w:before="200" w:after="40"/>
      </w:pPr>
      <w:r>
        <w:rPr>
          <w:rFonts w:ascii="Calibri" w:hAnsi="Calibri"/>
          <w:b/>
          <w:color w:val="41B6E6"/>
          <w:sz w:val="26"/>
        </w:rPr>
        <w:t>3.1  The source data</w:t>
      </w:r>
    </w:p>
    <w:p>
      <w:pPr>
        <w:spacing w:after="120"/>
      </w:pPr>
      <w:r>
        <w:rPr>
          <w:rFonts w:ascii="Calibri" w:hAnsi="Calibri"/>
          <w:sz w:val="22"/>
        </w:rPr>
        <w:t>The taxonomy and rules were derived from a 784,556-row public-sector procurement extract (87 columns, AP activity years 2017, 2020, 2021, 2023). Every record was classified independently from its description text — not re-labeled from any prior categorization. The source file carried partial prior commodity codes on ~30% of rows; the mapper does NOT use those as inputs. They are preserved only for optional after-the-fact cross-checks.</w:t>
      </w:r>
    </w:p>
    <w:p>
      <w:pPr>
        <w:spacing w:before="200" w:after="40"/>
      </w:pPr>
      <w:r>
        <w:rPr>
          <w:rFonts w:ascii="Calibri" w:hAnsi="Calibri"/>
          <w:b/>
          <w:color w:val="41B6E6"/>
          <w:sz w:val="26"/>
        </w:rPr>
        <w:t>3.2  What the classifier looks at — and what it does not</w:t>
      </w:r>
    </w:p>
    <w:p>
      <w:pPr>
        <w:pStyle w:val="ListBullet"/>
      </w:pPr>
      <w:r>
        <w:rPr>
          <w:rFonts w:ascii="Calibri" w:hAnsi="Calibri"/>
          <w:b/>
          <w:color w:val="002F6C"/>
          <w:sz w:val="22"/>
        </w:rPr>
        <w:t>Uses:</w:t>
      </w:r>
      <w:r>
        <w:rPr>
          <w:rFonts w:ascii="Calibri" w:hAnsi="Calibri"/>
          <w:sz w:val="22"/>
        </w:rPr>
        <w:t xml:space="preserve">  Description text — reads up to four description fields and picks the first substantive one.</w:t>
      </w:r>
    </w:p>
    <w:p>
      <w:pPr>
        <w:pStyle w:val="ListBullet"/>
      </w:pPr>
      <w:r>
        <w:rPr>
          <w:rFonts w:ascii="Calibri" w:hAnsi="Calibri"/>
          <w:b/>
          <w:color w:val="002F6C"/>
          <w:sz w:val="22"/>
        </w:rPr>
        <w:t>Uses:</w:t>
      </w:r>
      <w:r>
        <w:rPr>
          <w:rFonts w:ascii="Calibri" w:hAnsi="Calibri"/>
          <w:sz w:val="22"/>
        </w:rPr>
        <w:t xml:space="preserve">  Account / object / fund codes — the agency's own financial codes, as a backup signal.</w:t>
      </w:r>
    </w:p>
    <w:p>
      <w:pPr>
        <w:pStyle w:val="ListBullet"/>
      </w:pPr>
      <w:r>
        <w:rPr>
          <w:rFonts w:ascii="Calibri" w:hAnsi="Calibri"/>
          <w:b/>
          <w:color w:val="002F6C"/>
          <w:sz w:val="22"/>
        </w:rPr>
        <w:t>Excluded:</w:t>
      </w:r>
      <w:r>
        <w:rPr>
          <w:rFonts w:ascii="Calibri" w:hAnsi="Calibri"/>
          <w:sz w:val="22"/>
        </w:rPr>
        <w:t xml:space="preserve">  Vendor name — the same vendor sells across many categories; including it would introduce error.</w:t>
      </w:r>
    </w:p>
    <w:p>
      <w:pPr>
        <w:pStyle w:val="ListBullet"/>
      </w:pPr>
      <w:r>
        <w:rPr>
          <w:rFonts w:ascii="Calibri" w:hAnsi="Calibri"/>
          <w:b/>
          <w:color w:val="002F6C"/>
          <w:sz w:val="22"/>
        </w:rPr>
        <w:t>Excluded:</w:t>
      </w:r>
      <w:r>
        <w:rPr>
          <w:rFonts w:ascii="Calibri" w:hAnsi="Calibri"/>
          <w:sz w:val="22"/>
        </w:rPr>
        <w:t xml:space="preserve">  Spend dollars — the tool answers what was bought, not how much was spent.</w:t>
      </w:r>
    </w:p>
    <w:p>
      <w:pPr>
        <w:pStyle w:val="ListBullet"/>
      </w:pPr>
      <w:r>
        <w:rPr>
          <w:rFonts w:ascii="Calibri" w:hAnsi="Calibri"/>
          <w:b/>
          <w:color w:val="002F6C"/>
          <w:sz w:val="22"/>
        </w:rPr>
        <w:t>Excluded:</w:t>
      </w:r>
      <w:r>
        <w:rPr>
          <w:rFonts w:ascii="Calibri" w:hAnsi="Calibri"/>
          <w:sz w:val="22"/>
        </w:rPr>
        <w:t xml:space="preserve">  Prior consultant codes — building an owned classification means not inheriting them.</w:t>
      </w:r>
    </w:p>
    <w:p>
      <w:pPr>
        <w:spacing w:before="200" w:after="40"/>
      </w:pPr>
      <w:r>
        <w:rPr>
          <w:rFonts w:ascii="Calibri" w:hAnsi="Calibri"/>
          <w:b/>
          <w:color w:val="41B6E6"/>
          <w:sz w:val="26"/>
        </w:rPr>
        <w:t>3.3  The rule base — how classifications are decided</w:t>
      </w:r>
    </w:p>
    <w:p>
      <w:pPr>
        <w:spacing w:after="120"/>
      </w:pPr>
      <w:r>
        <w:rPr>
          <w:rFonts w:ascii="Calibri" w:hAnsi="Calibri"/>
          <w:sz w:val="22"/>
        </w:rPr>
        <w:t>Classification runs on a library of rules stored as plain CSV files that procurement staff can read and edit without touching code. As of this document: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0"/>
        <w:gridCol w:w="3400"/>
        <w:gridCol w:w="3400"/>
      </w:tblGrid>
      <w:tr>
        <w:tc>
          <w:tcPr>
            <w:tcW w:type="dxa" w:w="2835"/>
            <w:shd w:val="clear" w:color="auto" w:fill="002F6C"/>
          </w:tcPr>
          <w:p>
            <w:r>
              <w:rPr>
                <w:rFonts w:ascii="Calibri" w:hAnsi="Calibri"/>
                <w:b/>
                <w:color w:val="FFFFFF"/>
                <w:sz w:val="20"/>
              </w:rPr>
              <w:t>Rule source</w:t>
            </w:r>
          </w:p>
        </w:tc>
        <w:tc>
          <w:tcPr>
            <w:tcW w:type="dxa" w:w="1247"/>
            <w:shd w:val="clear" w:color="auto" w:fill="002F6C"/>
          </w:tcPr>
          <w:p>
            <w:r>
              <w:rPr>
                <w:rFonts w:ascii="Calibri" w:hAnsi="Calibri"/>
                <w:b/>
                <w:color w:val="FFFFFF"/>
                <w:sz w:val="20"/>
              </w:rPr>
              <w:t>Count</w:t>
            </w:r>
          </w:p>
        </w:tc>
        <w:tc>
          <w:tcPr>
            <w:tcW w:type="dxa" w:w="4989"/>
            <w:shd w:val="clear" w:color="auto" w:fill="002F6C"/>
          </w:tcPr>
          <w:p>
            <w:r>
              <w:rPr>
                <w:rFonts w:ascii="Calibri" w:hAnsi="Calibri"/>
                <w:b/>
                <w:color w:val="FFFFFF"/>
                <w:sz w:val="20"/>
              </w:rPr>
              <w:t>What it is</w:t>
            </w:r>
          </w:p>
        </w:tc>
      </w:tr>
      <w:tr>
        <w:tc>
          <w:tcPr>
            <w:tcW w:type="dxa" w:w="2835"/>
            <w:shd w:val="clear" w:color="auto" w:fill="D6EEF9"/>
          </w:tcPr>
          <w:p>
            <w:r>
              <w:rPr>
                <w:rFonts w:ascii="Calibri" w:hAnsi="Calibri"/>
                <w:sz w:val="19"/>
              </w:rPr>
              <w:t>Hand-curated keyword rules</w:t>
            </w:r>
          </w:p>
        </w:tc>
        <w:tc>
          <w:tcPr>
            <w:tcW w:type="dxa" w:w="1247"/>
            <w:shd w:val="clear" w:color="auto" w:fill="D6EEF9"/>
          </w:tcPr>
          <w:p>
            <w:r>
              <w:rPr>
                <w:rFonts w:ascii="Calibri" w:hAnsi="Calibri"/>
                <w:sz w:val="19"/>
              </w:rPr>
              <w:t>280</w:t>
            </w:r>
          </w:p>
        </w:tc>
        <w:tc>
          <w:tcPr>
            <w:tcW w:type="dxa" w:w="4989"/>
            <w:shd w:val="clear" w:color="auto" w:fill="D6EEF9"/>
          </w:tcPr>
          <w:p>
            <w:r>
              <w:rPr>
                <w:rFonts w:ascii="Calibri" w:hAnsi="Calibri"/>
                <w:sz w:val="19"/>
              </w:rPr>
              <w:t>Written and owned by the author. Highest-trust, high-volume rules.</w:t>
            </w:r>
          </w:p>
        </w:tc>
      </w:tr>
      <w:tr>
        <w:tc>
          <w:tcPr>
            <w:tcW w:type="dxa" w:w="2835"/>
          </w:tcPr>
          <w:p>
            <w:r>
              <w:rPr>
                <w:rFonts w:ascii="Calibri" w:hAnsi="Calibri"/>
                <w:sz w:val="19"/>
              </w:rPr>
              <w:t>AI-mined keyword rules</w:t>
            </w:r>
          </w:p>
        </w:tc>
        <w:tc>
          <w:tcPr>
            <w:tcW w:type="dxa" w:w="1247"/>
          </w:tcPr>
          <w:p>
            <w:r>
              <w:rPr>
                <w:rFonts w:ascii="Calibri" w:hAnsi="Calibri"/>
                <w:sz w:val="19"/>
              </w:rPr>
              <w:t>6,766</w:t>
            </w:r>
          </w:p>
        </w:tc>
        <w:tc>
          <w:tcPr>
            <w:tcW w:type="dxa" w:w="4989"/>
          </w:tcPr>
          <w:p>
            <w:r>
              <w:rPr>
                <w:rFonts w:ascii="Calibri" w:hAnsi="Calibri"/>
                <w:sz w:val="19"/>
              </w:rPr>
              <w:t>From a one-time AI pattern-mining pass. Full provenance. Frozen.</w:t>
            </w:r>
          </w:p>
        </w:tc>
      </w:tr>
      <w:tr>
        <w:tc>
          <w:tcPr>
            <w:tcW w:type="dxa" w:w="2835"/>
            <w:shd w:val="clear" w:color="auto" w:fill="D6EEF9"/>
          </w:tcPr>
          <w:p>
            <w:r>
              <w:rPr>
                <w:rFonts w:ascii="Calibri" w:hAnsi="Calibri"/>
                <w:sz w:val="19"/>
              </w:rPr>
              <w:t>Account-code patterns</w:t>
            </w:r>
          </w:p>
        </w:tc>
        <w:tc>
          <w:tcPr>
            <w:tcW w:type="dxa" w:w="1247"/>
            <w:shd w:val="clear" w:color="auto" w:fill="D6EEF9"/>
          </w:tcPr>
          <w:p>
            <w:r>
              <w:rPr>
                <w:rFonts w:ascii="Calibri" w:hAnsi="Calibri"/>
                <w:sz w:val="19"/>
              </w:rPr>
              <w:t>6</w:t>
            </w:r>
          </w:p>
        </w:tc>
        <w:tc>
          <w:tcPr>
            <w:tcW w:type="dxa" w:w="4989"/>
            <w:shd w:val="clear" w:color="auto" w:fill="D6EEF9"/>
          </w:tcPr>
          <w:p>
            <w:r>
              <w:rPr>
                <w:rFonts w:ascii="Calibri" w:hAnsi="Calibri"/>
                <w:sz w:val="19"/>
              </w:rPr>
              <w:t>Map specific financial account codes to a category (subgrant accounts).</w:t>
            </w:r>
          </w:p>
        </w:tc>
      </w:tr>
      <w:tr>
        <w:tc>
          <w:tcPr>
            <w:tcW w:type="dxa" w:w="2835"/>
          </w:tcPr>
          <w:p>
            <w:r>
              <w:rPr>
                <w:rFonts w:ascii="Calibri" w:hAnsi="Calibri"/>
                <w:sz w:val="19"/>
              </w:rPr>
              <w:t>Total rules</w:t>
            </w:r>
          </w:p>
        </w:tc>
        <w:tc>
          <w:tcPr>
            <w:tcW w:type="dxa" w:w="1247"/>
          </w:tcPr>
          <w:p>
            <w:r>
              <w:rPr>
                <w:rFonts w:ascii="Calibri" w:hAnsi="Calibri"/>
                <w:sz w:val="19"/>
              </w:rPr>
              <w:t>7,046</w:t>
            </w:r>
          </w:p>
        </w:tc>
        <w:tc>
          <w:tcPr>
            <w:tcW w:type="dxa" w:w="4989"/>
          </w:tcPr>
          <w:p>
            <w:r>
              <w:rPr>
                <w:rFonts w:ascii="Calibri" w:hAnsi="Calibri"/>
                <w:sz w:val="19"/>
              </w:rPr>
              <w:t>Plus one resolver that consumes saved AI output (see 3.4).</w:t>
            </w:r>
          </w:p>
        </w:tc>
      </w:tr>
    </w:tbl>
    <w:p>
      <w:pPr>
        <w:spacing w:after="120"/>
      </w:pPr>
      <w:r>
        <w:rPr>
          <w:rFonts w:ascii="Calibri" w:hAnsi="Calibri"/>
          <w:sz w:val="22"/>
        </w:rPr>
        <w:t>Each keyword rule says: if the description matches this pattern, assign this Business Category and NIGP class. Matching supports exact (whole string), starts_with (prefix), and contains (substring), evaluated in that priority order. The first match wins.</w:t>
      </w:r>
    </w:p>
    <w:p>
      <w:pPr>
        <w:spacing w:before="200" w:after="40"/>
      </w:pPr>
      <w:r>
        <w:rPr>
          <w:rFonts w:ascii="Calibri" w:hAnsi="Calibri"/>
          <w:b/>
          <w:color w:val="41B6E6"/>
          <w:sz w:val="26"/>
        </w:rPr>
        <w:t>3.4  The one and only use of AI — bounded, one-time, and frozen</w:t>
      </w:r>
    </w:p>
    <w:tbl>
      <w:tblPr>
        <w:tblW w:type="auto" w:w="0"/>
        <w:tblLayout w:type="autofit"/>
        <w:tblLook w:firstColumn="1" w:firstRow="1" w:lastColumn="0" w:lastRow="0" w:noHBand="0" w:noVBand="1" w:val="04A0"/>
      </w:tblPr>
      <w:tblGrid>
        <w:gridCol w:w="10200"/>
      </w:tblGrid>
      <w:tr>
        <w:tc>
          <w:tcPr>
            <w:tcW w:type="dxa" w:w="10200"/>
            <w:shd w:val="clear" w:color="auto" w:fill="D6EEF9"/>
            <w:tcMar>
              <w:top w:w="120" w:type="dxa"/>
              <w:left w:w="120" w:type="dxa"/>
              <w:bottom w:w="120" w:type="dxa"/>
              <w:right w:w="120" w:type="dxa"/>
            </w:tcMar>
          </w:tcPr>
          <w:p>
            <w:pPr>
              <w:spacing w:after="40"/>
            </w:pPr>
            <w:r/>
            <w:r>
              <w:rPr>
                <w:rFonts w:ascii="Calibri" w:hAnsi="Calibri"/>
                <w:b/>
                <w:color w:val="DA291C"/>
                <w:sz w:val="22"/>
              </w:rPr>
              <w:t>THE HEADLINE</w:t>
            </w:r>
          </w:p>
          <w:p>
            <w:r>
              <w:rPr>
                <w:rFonts w:ascii="Calibri" w:hAnsi="Calibri"/>
                <w:color w:val="002F6C"/>
                <w:sz w:val="22"/>
              </w:rPr>
              <w:t>The production tool is rules-only. No AI model is called when you classify anything. AI was used once, at build time, to read the long tail of ~30,000 descriptions no hand-written rule covered and propose patterns. Total one-time cost was about $27.</w:t>
            </w:r>
          </w:p>
        </w:tc>
      </w:tr>
    </w:tbl>
    <w:p>
      <w:pPr>
        <w:spacing w:after="120"/>
      </w:pPr>
    </w:p>
    <w:p>
      <w:pPr>
        <w:spacing w:after="120"/>
      </w:pPr>
      <w:r>
        <w:rPr>
          <w:rFonts w:ascii="Calibri" w:hAnsi="Calibri"/>
          <w:sz w:val="22"/>
        </w:rPr>
        <w:t>Why this AI use is defensible, in six points:</w:t>
      </w:r>
    </w:p>
    <w:p>
      <w:pPr>
        <w:pStyle w:val="ListBullet"/>
      </w:pPr>
      <w:r>
        <w:rPr>
          <w:rFonts w:ascii="Calibri" w:hAnsi="Calibri"/>
          <w:b/>
          <w:color w:val="002F6C"/>
          <w:sz w:val="22"/>
        </w:rPr>
        <w:t>1.</w:t>
      </w:r>
      <w:r>
        <w:rPr>
          <w:rFonts w:ascii="Calibri" w:hAnsi="Calibri"/>
          <w:sz w:val="22"/>
        </w:rPr>
        <w:t xml:space="preserve">  One-time, not ongoing. Runs never call AI — no API key, no internet, no per-classification charge.</w:t>
      </w:r>
    </w:p>
    <w:p>
      <w:pPr>
        <w:pStyle w:val="ListBullet"/>
      </w:pPr>
      <w:r>
        <w:rPr>
          <w:rFonts w:ascii="Calibri" w:hAnsi="Calibri"/>
          <w:b/>
          <w:color w:val="002F6C"/>
          <w:sz w:val="22"/>
        </w:rPr>
        <w:t>2.</w:t>
      </w:r>
      <w:r>
        <w:rPr>
          <w:rFonts w:ascii="Calibri" w:hAnsi="Calibri"/>
          <w:sz w:val="22"/>
        </w:rPr>
        <w:t xml:space="preserve">  Bounded. The model could only choose from the 17 approved categories and 138 NIGP classes — it cannot invent a code.</w:t>
      </w:r>
    </w:p>
    <w:p>
      <w:pPr>
        <w:pStyle w:val="ListBullet"/>
      </w:pPr>
      <w:r>
        <w:rPr>
          <w:rFonts w:ascii="Calibri" w:hAnsi="Calibri"/>
          <w:b/>
          <w:color w:val="002F6C"/>
          <w:sz w:val="22"/>
        </w:rPr>
        <w:t>3.</w:t>
      </w:r>
      <w:r>
        <w:rPr>
          <w:rFonts w:ascii="Calibri" w:hAnsi="Calibri"/>
          <w:sz w:val="22"/>
        </w:rPr>
        <w:t xml:space="preserve">  Transparent. Every AI-mined rule records the model, confidence, source frequency, and reasoning.</w:t>
      </w:r>
    </w:p>
    <w:p>
      <w:pPr>
        <w:pStyle w:val="ListBullet"/>
      </w:pPr>
      <w:r>
        <w:rPr>
          <w:rFonts w:ascii="Calibri" w:hAnsi="Calibri"/>
          <w:b/>
          <w:color w:val="002F6C"/>
          <w:sz w:val="22"/>
        </w:rPr>
        <w:t>4.</w:t>
      </w:r>
      <w:r>
        <w:rPr>
          <w:rFonts w:ascii="Calibri" w:hAnsi="Calibri"/>
          <w:sz w:val="22"/>
        </w:rPr>
        <w:t xml:space="preserve">  Reviewable &amp; editable. Staff can demote or delete any AI-mined rule; it has no special status.</w:t>
      </w:r>
    </w:p>
    <w:p>
      <w:pPr>
        <w:pStyle w:val="ListBullet"/>
      </w:pPr>
      <w:r>
        <w:rPr>
          <w:rFonts w:ascii="Calibri" w:hAnsi="Calibri"/>
          <w:b/>
          <w:color w:val="002F6C"/>
          <w:sz w:val="22"/>
        </w:rPr>
        <w:t>5.</w:t>
      </w:r>
      <w:r>
        <w:rPr>
          <w:rFonts w:ascii="Calibri" w:hAnsi="Calibri"/>
          <w:sz w:val="22"/>
        </w:rPr>
        <w:t xml:space="preserve">  Replaceable. Delete all AI content and the tool still runs on curated rules + account patterns. Coverage drops; nothing breaks.</w:t>
      </w:r>
    </w:p>
    <w:p>
      <w:pPr>
        <w:pStyle w:val="ListBullet"/>
      </w:pPr>
      <w:r>
        <w:rPr>
          <w:rFonts w:ascii="Calibri" w:hAnsi="Calibri"/>
          <w:b/>
          <w:color w:val="002F6C"/>
          <w:sz w:val="22"/>
        </w:rPr>
        <w:t>6.</w:t>
      </w:r>
      <w:r>
        <w:rPr>
          <w:rFonts w:ascii="Calibri" w:hAnsi="Calibri"/>
          <w:sz w:val="22"/>
        </w:rPr>
        <w:t xml:space="preserve">  Confidence-labeled, never laundered. AI-derived answers are tagged AI-high / AI-medium / AI-low so you can filter or exclude them.</w:t>
      </w:r>
    </w:p>
    <w:p>
      <w:pPr>
        <w:pBdr>
          <w:bottom w:val="single" w:sz="18" w:space="1" w:color="41B6E6"/>
        </w:pBdr>
        <w:spacing w:before="280" w:after="120"/>
      </w:pPr>
      <w:r>
        <w:rPr>
          <w:rFonts w:ascii="Calibri" w:hAnsi="Calibri"/>
          <w:b/>
          <w:color w:val="002F6C"/>
          <w:sz w:val="32"/>
        </w:rPr>
        <w:t>4.  HOW A ROW GETS CLASSIFIED — THE FOUR TIERS</w:t>
      </w:r>
    </w:p>
    <w:p>
      <w:pPr>
        <w:spacing w:after="120"/>
      </w:pPr>
      <w:r>
        <w:rPr>
          <w:rFonts w:ascii="Calibri" w:hAnsi="Calibri"/>
          <w:sz w:val="22"/>
        </w:rPr>
        <w:t>Every record runs through four tiers in order. The first tier that matches wins, and the row records which tier produced its answer — that is what creates a clean, per-row audit trail.</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0"/>
        <w:gridCol w:w="3400"/>
        <w:gridCol w:w="3400"/>
      </w:tblGrid>
      <w:tr>
        <w:tc>
          <w:tcPr>
            <w:tcW w:type="dxa" w:w="680"/>
            <w:shd w:val="clear" w:color="auto" w:fill="002F6C"/>
          </w:tcPr>
          <w:p>
            <w:r>
              <w:rPr>
                <w:rFonts w:ascii="Calibri" w:hAnsi="Calibri"/>
                <w:b/>
                <w:color w:val="FFFFFF"/>
                <w:sz w:val="20"/>
              </w:rPr>
              <w:t>Tier</w:t>
            </w:r>
          </w:p>
        </w:tc>
        <w:tc>
          <w:tcPr>
            <w:tcW w:type="dxa" w:w="1928"/>
            <w:shd w:val="clear" w:color="auto" w:fill="002F6C"/>
          </w:tcPr>
          <w:p>
            <w:r>
              <w:rPr>
                <w:rFonts w:ascii="Calibri" w:hAnsi="Calibri"/>
                <w:b/>
                <w:color w:val="FFFFFF"/>
                <w:sz w:val="20"/>
              </w:rPr>
              <w:t>Method label</w:t>
            </w:r>
          </w:p>
        </w:tc>
        <w:tc>
          <w:tcPr>
            <w:tcW w:type="dxa" w:w="6463"/>
            <w:shd w:val="clear" w:color="auto" w:fill="002F6C"/>
          </w:tcPr>
          <w:p>
            <w:r>
              <w:rPr>
                <w:rFonts w:ascii="Calibri" w:hAnsi="Calibri"/>
                <w:b/>
                <w:color w:val="FFFFFF"/>
                <w:sz w:val="20"/>
              </w:rPr>
              <w:t>What it means</w:t>
            </w:r>
          </w:p>
        </w:tc>
      </w:tr>
      <w:tr>
        <w:tc>
          <w:tcPr>
            <w:tcW w:type="dxa" w:w="680"/>
            <w:shd w:val="clear" w:color="auto" w:fill="D6EEF9"/>
          </w:tcPr>
          <w:p>
            <w:r>
              <w:rPr>
                <w:rFonts w:ascii="Calibri" w:hAnsi="Calibri"/>
                <w:sz w:val="19"/>
              </w:rPr>
              <w:t>1</w:t>
            </w:r>
          </w:p>
        </w:tc>
        <w:tc>
          <w:tcPr>
            <w:tcW w:type="dxa" w:w="1928"/>
            <w:shd w:val="clear" w:color="auto" w:fill="D6EEF9"/>
          </w:tcPr>
          <w:p>
            <w:r>
              <w:rPr>
                <w:rFonts w:ascii="Calibri" w:hAnsi="Calibri"/>
                <w:sz w:val="19"/>
              </w:rPr>
              <w:t>keyword_rule</w:t>
            </w:r>
          </w:p>
        </w:tc>
        <w:tc>
          <w:tcPr>
            <w:tcW w:type="dxa" w:w="6463"/>
            <w:shd w:val="clear" w:color="auto" w:fill="D6EEF9"/>
          </w:tcPr>
          <w:p>
            <w:r>
              <w:rPr>
                <w:rFonts w:ascii="Calibri" w:hAnsi="Calibri"/>
                <w:sz w:val="19"/>
              </w:rPr>
              <w:t>Matched a curated or AI-mined keyword rule. Strongest evidence.</w:t>
            </w:r>
          </w:p>
        </w:tc>
      </w:tr>
      <w:tr>
        <w:tc>
          <w:tcPr>
            <w:tcW w:type="dxa" w:w="680"/>
          </w:tcPr>
          <w:p>
            <w:r>
              <w:rPr>
                <w:rFonts w:ascii="Calibri" w:hAnsi="Calibri"/>
                <w:sz w:val="19"/>
              </w:rPr>
              <w:t>2</w:t>
            </w:r>
          </w:p>
        </w:tc>
        <w:tc>
          <w:tcPr>
            <w:tcW w:type="dxa" w:w="1928"/>
          </w:tcPr>
          <w:p>
            <w:r>
              <w:rPr>
                <w:rFonts w:ascii="Calibri" w:hAnsi="Calibri"/>
                <w:sz w:val="19"/>
              </w:rPr>
              <w:t>account_pattern</w:t>
            </w:r>
          </w:p>
        </w:tc>
        <w:tc>
          <w:tcPr>
            <w:tcW w:type="dxa" w:w="6463"/>
          </w:tcPr>
          <w:p>
            <w:r>
              <w:rPr>
                <w:rFonts w:ascii="Calibri" w:hAnsi="Calibri"/>
                <w:sz w:val="19"/>
              </w:rPr>
              <w:t>Description too thin; a financial account code resolved it.</w:t>
            </w:r>
          </w:p>
        </w:tc>
      </w:tr>
      <w:tr>
        <w:tc>
          <w:tcPr>
            <w:tcW w:type="dxa" w:w="680"/>
            <w:shd w:val="clear" w:color="auto" w:fill="D6EEF9"/>
          </w:tcPr>
          <w:p>
            <w:r>
              <w:rPr>
                <w:rFonts w:ascii="Calibri" w:hAnsi="Calibri"/>
                <w:sz w:val="19"/>
              </w:rPr>
              <w:t>3</w:t>
            </w:r>
          </w:p>
        </w:tc>
        <w:tc>
          <w:tcPr>
            <w:tcW w:type="dxa" w:w="1928"/>
            <w:shd w:val="clear" w:color="auto" w:fill="D6EEF9"/>
          </w:tcPr>
          <w:p>
            <w:r>
              <w:rPr>
                <w:rFonts w:ascii="Calibri" w:hAnsi="Calibri"/>
                <w:sz w:val="19"/>
              </w:rPr>
              <w:t>ai_assist</w:t>
            </w:r>
          </w:p>
        </w:tc>
        <w:tc>
          <w:tcPr>
            <w:tcW w:type="dxa" w:w="6463"/>
            <w:shd w:val="clear" w:color="auto" w:fill="D6EEF9"/>
          </w:tcPr>
          <w:p>
            <w:r>
              <w:rPr>
                <w:rFonts w:ascii="Calibri" w:hAnsi="Calibri"/>
                <w:sz w:val="19"/>
              </w:rPr>
              <w:t>No rule matched; saved one-time AI output supplied the answer. No new API call.</w:t>
            </w:r>
          </w:p>
        </w:tc>
      </w:tr>
      <w:tr>
        <w:tc>
          <w:tcPr>
            <w:tcW w:type="dxa" w:w="680"/>
          </w:tcPr>
          <w:p>
            <w:r>
              <w:rPr>
                <w:rFonts w:ascii="Calibri" w:hAnsi="Calibri"/>
                <w:sz w:val="19"/>
              </w:rPr>
              <w:t>4</w:t>
            </w:r>
          </w:p>
        </w:tc>
        <w:tc>
          <w:tcPr>
            <w:tcW w:type="dxa" w:w="1928"/>
          </w:tcPr>
          <w:p>
            <w:r>
              <w:rPr>
                <w:rFonts w:ascii="Calibri" w:hAnsi="Calibri"/>
                <w:sz w:val="19"/>
              </w:rPr>
              <w:t>no_description</w:t>
            </w:r>
          </w:p>
        </w:tc>
        <w:tc>
          <w:tcPr>
            <w:tcW w:type="dxa" w:w="6463"/>
          </w:tcPr>
          <w:p>
            <w:r>
              <w:rPr>
                <w:rFonts w:ascii="Calibri" w:hAnsi="Calibri"/>
                <w:sz w:val="19"/>
              </w:rPr>
              <w:t>No usable text anywhere; honestly tagged rather than guessed.</w:t>
            </w:r>
          </w:p>
        </w:tc>
      </w:tr>
    </w:tbl>
    <w:p>
      <w:pPr>
        <w:spacing w:before="200" w:after="40"/>
      </w:pPr>
      <w:r>
        <w:rPr>
          <w:rFonts w:ascii="Calibri" w:hAnsi="Calibri"/>
          <w:b/>
          <w:color w:val="41B6E6"/>
          <w:sz w:val="26"/>
        </w:rPr>
        <w:t>Coverage from the last full production run (2026-05-14)</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0"/>
        <w:gridCol w:w="3400"/>
        <w:gridCol w:w="3400"/>
      </w:tblGrid>
      <w:tr>
        <w:tc>
          <w:tcPr>
            <w:tcW w:type="dxa" w:w="4876"/>
            <w:shd w:val="clear" w:color="auto" w:fill="002F6C"/>
          </w:tcPr>
          <w:p>
            <w:r>
              <w:rPr>
                <w:rFonts w:ascii="Calibri" w:hAnsi="Calibri"/>
                <w:b/>
                <w:color w:val="FFFFFF"/>
                <w:sz w:val="20"/>
              </w:rPr>
              <w:t>Tier</w:t>
            </w:r>
          </w:p>
        </w:tc>
        <w:tc>
          <w:tcPr>
            <w:tcW w:type="dxa" w:w="2041"/>
            <w:shd w:val="clear" w:color="auto" w:fill="002F6C"/>
          </w:tcPr>
          <w:p>
            <w:r>
              <w:rPr>
                <w:rFonts w:ascii="Calibri" w:hAnsi="Calibri"/>
                <w:b/>
                <w:color w:val="FFFFFF"/>
                <w:sz w:val="20"/>
              </w:rPr>
              <w:t>Rows</w:t>
            </w:r>
          </w:p>
        </w:tc>
        <w:tc>
          <w:tcPr>
            <w:tcW w:type="dxa" w:w="2154"/>
            <w:shd w:val="clear" w:color="auto" w:fill="002F6C"/>
          </w:tcPr>
          <w:p>
            <w:r>
              <w:rPr>
                <w:rFonts w:ascii="Calibri" w:hAnsi="Calibri"/>
                <w:b/>
                <w:color w:val="FFFFFF"/>
                <w:sz w:val="20"/>
              </w:rPr>
              <w:t>Share</w:t>
            </w:r>
          </w:p>
        </w:tc>
      </w:tr>
      <w:tr>
        <w:tc>
          <w:tcPr>
            <w:tcW w:type="dxa" w:w="4876"/>
            <w:shd w:val="clear" w:color="auto" w:fill="D6EEF9"/>
          </w:tcPr>
          <w:p>
            <w:r>
              <w:rPr>
                <w:rFonts w:ascii="Calibri" w:hAnsi="Calibri"/>
                <w:sz w:val="19"/>
              </w:rPr>
              <w:t>Tier 1 — Keyword rule</w:t>
            </w:r>
          </w:p>
        </w:tc>
        <w:tc>
          <w:tcPr>
            <w:tcW w:type="dxa" w:w="2041"/>
            <w:shd w:val="clear" w:color="auto" w:fill="D6EEF9"/>
          </w:tcPr>
          <w:p>
            <w:r>
              <w:rPr>
                <w:rFonts w:ascii="Calibri" w:hAnsi="Calibri"/>
                <w:sz w:val="19"/>
              </w:rPr>
              <w:t>688,044</w:t>
            </w:r>
          </w:p>
        </w:tc>
        <w:tc>
          <w:tcPr>
            <w:tcW w:type="dxa" w:w="2154"/>
            <w:shd w:val="clear" w:color="auto" w:fill="D6EEF9"/>
          </w:tcPr>
          <w:p>
            <w:r>
              <w:rPr>
                <w:rFonts w:ascii="Calibri" w:hAnsi="Calibri"/>
                <w:sz w:val="19"/>
              </w:rPr>
              <w:t>87.7%</w:t>
            </w:r>
          </w:p>
        </w:tc>
      </w:tr>
      <w:tr>
        <w:tc>
          <w:tcPr>
            <w:tcW w:type="dxa" w:w="4876"/>
          </w:tcPr>
          <w:p>
            <w:r>
              <w:rPr>
                <w:rFonts w:ascii="Calibri" w:hAnsi="Calibri"/>
                <w:sz w:val="19"/>
              </w:rPr>
              <w:t>Tier 2 — Account-code pattern</w:t>
            </w:r>
          </w:p>
        </w:tc>
        <w:tc>
          <w:tcPr>
            <w:tcW w:type="dxa" w:w="2041"/>
          </w:tcPr>
          <w:p>
            <w:r>
              <w:rPr>
                <w:rFonts w:ascii="Calibri" w:hAnsi="Calibri"/>
                <w:sz w:val="19"/>
              </w:rPr>
              <w:t>2,028</w:t>
            </w:r>
          </w:p>
        </w:tc>
        <w:tc>
          <w:tcPr>
            <w:tcW w:type="dxa" w:w="2154"/>
          </w:tcPr>
          <w:p>
            <w:r>
              <w:rPr>
                <w:rFonts w:ascii="Calibri" w:hAnsi="Calibri"/>
                <w:sz w:val="19"/>
              </w:rPr>
              <w:t>0.3%</w:t>
            </w:r>
          </w:p>
        </w:tc>
      </w:tr>
      <w:tr>
        <w:tc>
          <w:tcPr>
            <w:tcW w:type="dxa" w:w="4876"/>
            <w:shd w:val="clear" w:color="auto" w:fill="D6EEF9"/>
          </w:tcPr>
          <w:p>
            <w:r>
              <w:rPr>
                <w:rFonts w:ascii="Calibri" w:hAnsi="Calibri"/>
                <w:sz w:val="19"/>
              </w:rPr>
              <w:t>Tier 3 — AI-assist resolver (saved output)</w:t>
            </w:r>
          </w:p>
        </w:tc>
        <w:tc>
          <w:tcPr>
            <w:tcW w:type="dxa" w:w="2041"/>
            <w:shd w:val="clear" w:color="auto" w:fill="D6EEF9"/>
          </w:tcPr>
          <w:p>
            <w:r>
              <w:rPr>
                <w:rFonts w:ascii="Calibri" w:hAnsi="Calibri"/>
                <w:sz w:val="19"/>
              </w:rPr>
              <w:t>93,518</w:t>
            </w:r>
          </w:p>
        </w:tc>
        <w:tc>
          <w:tcPr>
            <w:tcW w:type="dxa" w:w="2154"/>
            <w:shd w:val="clear" w:color="auto" w:fill="D6EEF9"/>
          </w:tcPr>
          <w:p>
            <w:r>
              <w:rPr>
                <w:rFonts w:ascii="Calibri" w:hAnsi="Calibri"/>
                <w:sz w:val="19"/>
              </w:rPr>
              <w:t>11.9%</w:t>
            </w:r>
          </w:p>
        </w:tc>
      </w:tr>
      <w:tr>
        <w:tc>
          <w:tcPr>
            <w:tcW w:type="dxa" w:w="4876"/>
          </w:tcPr>
          <w:p>
            <w:r>
              <w:rPr>
                <w:rFonts w:ascii="Calibri" w:hAnsi="Calibri"/>
                <w:sz w:val="19"/>
              </w:rPr>
              <w:t>Tier 4 — Unclassified — No Description</w:t>
            </w:r>
          </w:p>
        </w:tc>
        <w:tc>
          <w:tcPr>
            <w:tcW w:type="dxa" w:w="2041"/>
          </w:tcPr>
          <w:p>
            <w:r>
              <w:rPr>
                <w:rFonts w:ascii="Calibri" w:hAnsi="Calibri"/>
                <w:sz w:val="19"/>
              </w:rPr>
              <w:t>966</w:t>
            </w:r>
          </w:p>
        </w:tc>
        <w:tc>
          <w:tcPr>
            <w:tcW w:type="dxa" w:w="2154"/>
          </w:tcPr>
          <w:p>
            <w:r>
              <w:rPr>
                <w:rFonts w:ascii="Calibri" w:hAnsi="Calibri"/>
                <w:sz w:val="19"/>
              </w:rPr>
              <w:t>0.1%</w:t>
            </w:r>
          </w:p>
        </w:tc>
      </w:tr>
      <w:tr>
        <w:tc>
          <w:tcPr>
            <w:tcW w:type="dxa" w:w="4876"/>
            <w:shd w:val="clear" w:color="auto" w:fill="D6EEF9"/>
          </w:tcPr>
          <w:p>
            <w:r>
              <w:rPr>
                <w:rFonts w:ascii="Calibri" w:hAnsi="Calibri"/>
                <w:sz w:val="19"/>
              </w:rPr>
              <w:t>Total mapped to a Business Category</w:t>
            </w:r>
          </w:p>
        </w:tc>
        <w:tc>
          <w:tcPr>
            <w:tcW w:type="dxa" w:w="2041"/>
            <w:shd w:val="clear" w:color="auto" w:fill="D6EEF9"/>
          </w:tcPr>
          <w:p>
            <w:r>
              <w:rPr>
                <w:rFonts w:ascii="Calibri" w:hAnsi="Calibri"/>
                <w:sz w:val="19"/>
              </w:rPr>
              <w:t>784,556</w:t>
            </w:r>
          </w:p>
        </w:tc>
        <w:tc>
          <w:tcPr>
            <w:tcW w:type="dxa" w:w="2154"/>
            <w:shd w:val="clear" w:color="auto" w:fill="D6EEF9"/>
          </w:tcPr>
          <w:p>
            <w:r>
              <w:rPr>
                <w:rFonts w:ascii="Calibri" w:hAnsi="Calibri"/>
                <w:sz w:val="19"/>
              </w:rPr>
              <w:t>100.0%</w:t>
            </w:r>
          </w:p>
        </w:tc>
      </w:tr>
      <w:tr>
        <w:tc>
          <w:tcPr>
            <w:tcW w:type="dxa" w:w="4876"/>
          </w:tcPr>
          <w:p>
            <w:r>
              <w:rPr>
                <w:rFonts w:ascii="Calibri" w:hAnsi="Calibri"/>
                <w:sz w:val="19"/>
              </w:rPr>
              <w:t>Terminal human-review queue</w:t>
            </w:r>
          </w:p>
        </w:tc>
        <w:tc>
          <w:tcPr>
            <w:tcW w:type="dxa" w:w="2041"/>
          </w:tcPr>
          <w:p>
            <w:r>
              <w:rPr>
                <w:rFonts w:ascii="Calibri" w:hAnsi="Calibri"/>
                <w:sz w:val="19"/>
              </w:rPr>
              <w:t>0</w:t>
            </w:r>
          </w:p>
        </w:tc>
        <w:tc>
          <w:tcPr>
            <w:tcW w:type="dxa" w:w="2154"/>
          </w:tcPr>
          <w:p>
            <w:r>
              <w:rPr>
                <w:rFonts w:ascii="Calibri" w:hAnsi="Calibri"/>
                <w:sz w:val="19"/>
              </w:rPr>
              <w:t>0.0%</w:t>
            </w:r>
          </w:p>
        </w:tc>
      </w:tr>
    </w:tbl>
    <w:tbl>
      <w:tblPr>
        <w:tblW w:type="auto" w:w="0"/>
        <w:tblLayout w:type="autofit"/>
        <w:tblLook w:firstColumn="1" w:firstRow="1" w:lastColumn="0" w:lastRow="0" w:noHBand="0" w:noVBand="1" w:val="04A0"/>
      </w:tblPr>
      <w:tblGrid>
        <w:gridCol w:w="10200"/>
      </w:tblGrid>
      <w:tr>
        <w:tc>
          <w:tcPr>
            <w:tcW w:type="dxa" w:w="10200"/>
            <w:shd w:val="clear" w:color="auto" w:fill="D6EEF9"/>
            <w:tcMar>
              <w:top w:w="120" w:type="dxa"/>
              <w:left w:w="120" w:type="dxa"/>
              <w:bottom w:w="120" w:type="dxa"/>
              <w:right w:w="120" w:type="dxa"/>
            </w:tcMar>
          </w:tcPr>
          <w:p>
            <w:pPr>
              <w:spacing w:after="40"/>
            </w:pPr>
            <w:r/>
            <w:r>
              <w:rPr>
                <w:rFonts w:ascii="Calibri" w:hAnsi="Calibri"/>
                <w:b/>
                <w:color w:val="DA291C"/>
                <w:sz w:val="22"/>
              </w:rPr>
              <w:t>NOTE ON FRESHNESS</w:t>
            </w:r>
          </w:p>
          <w:p>
            <w:r>
              <w:rPr>
                <w:rFonts w:ascii="Calibri" w:hAnsi="Calibri"/>
                <w:color w:val="002F6C"/>
                <w:sz w:val="22"/>
              </w:rPr>
              <w:t>34 curated rules were added on 2026-08-07 (see Section 6). Those improve the interactive tool immediately, but the batch percentages above only change on the next full batch refresh. The "100% mapped" headline is unaffected — the new rules mainly shift a small number of rows from Tier 3 (AI-assist) to Tier 1 (keyword rule), which strengthens the evidence behind those rows. Note also: "0 review queue" is not the same as "0 error" — Tier 3 rows rest on an AI proposal and are labeled so, so you can always filter to the strongest-evidence tiers when accuracy matters most.</w:t>
            </w:r>
          </w:p>
        </w:tc>
      </w:tr>
    </w:tbl>
    <w:p>
      <w:pPr>
        <w:spacing w:after="120"/>
      </w:pPr>
    </w:p>
    <w:p>
      <w:pPr>
        <w:pBdr>
          <w:bottom w:val="single" w:sz="18" w:space="1" w:color="41B6E6"/>
        </w:pBdr>
        <w:spacing w:before="280" w:after="120"/>
      </w:pPr>
      <w:r>
        <w:rPr>
          <w:rFonts w:ascii="Calibri" w:hAnsi="Calibri"/>
          <w:b/>
          <w:color w:val="002F6C"/>
          <w:sz w:val="32"/>
        </w:rPr>
        <w:t>5.  HOW TO OPERATE IT — THE WEB APP (PRIMARY) AND CLI (ADVANCED)</w:t>
      </w:r>
    </w:p>
    <w:p>
      <w:pPr>
        <w:spacing w:after="120"/>
      </w:pPr>
      <w:r>
        <w:rPr>
          <w:rFonts w:ascii="Calibri" w:hAnsi="Calibri"/>
          <w:sz w:val="22"/>
        </w:rPr>
        <w:t>There are two ways to use the tool. Most people should use the web app.</w:t>
      </w:r>
    </w:p>
    <w:p>
      <w:pPr>
        <w:spacing w:before="200" w:after="40"/>
      </w:pPr>
      <w:r>
        <w:rPr>
          <w:rFonts w:ascii="Calibri" w:hAnsi="Calibri"/>
          <w:b/>
          <w:color w:val="41B6E6"/>
          <w:sz w:val="26"/>
        </w:rPr>
        <w:t>5A.  The web app — six pages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00"/>
        <w:gridCol w:w="5100"/>
      </w:tblGrid>
      <w:tr>
        <w:tc>
          <w:tcPr>
            <w:tcW w:type="dxa" w:w="2608"/>
            <w:shd w:val="clear" w:color="auto" w:fill="002F6C"/>
          </w:tcPr>
          <w:p>
            <w:r>
              <w:rPr>
                <w:rFonts w:ascii="Calibri" w:hAnsi="Calibri"/>
                <w:b/>
                <w:color w:val="FFFFFF"/>
                <w:sz w:val="20"/>
              </w:rPr>
              <w:t>Page</w:t>
            </w:r>
          </w:p>
        </w:tc>
        <w:tc>
          <w:tcPr>
            <w:tcW w:type="dxa" w:w="6917"/>
            <w:shd w:val="clear" w:color="auto" w:fill="002F6C"/>
          </w:tcPr>
          <w:p>
            <w:r>
              <w:rPr>
                <w:rFonts w:ascii="Calibri" w:hAnsi="Calibri"/>
                <w:b/>
                <w:color w:val="FFFFFF"/>
                <w:sz w:val="20"/>
              </w:rPr>
              <w:t>What it does</w:t>
            </w:r>
          </w:p>
        </w:tc>
      </w:tr>
      <w:tr>
        <w:tc>
          <w:tcPr>
            <w:tcW w:type="dxa" w:w="2608"/>
            <w:shd w:val="clear" w:color="auto" w:fill="D6EEF9"/>
          </w:tcPr>
          <w:p>
            <w:r>
              <w:rPr>
                <w:rFonts w:ascii="Calibri" w:hAnsi="Calibri"/>
                <w:sz w:val="19"/>
              </w:rPr>
              <w:t>Classify</w:t>
            </w:r>
          </w:p>
        </w:tc>
        <w:tc>
          <w:tcPr>
            <w:tcW w:type="dxa" w:w="6917"/>
            <w:shd w:val="clear" w:color="auto" w:fill="D6EEF9"/>
          </w:tcPr>
          <w:p>
            <w:r>
              <w:rPr>
                <w:rFonts w:ascii="Calibri" w:hAnsi="Calibri"/>
                <w:sz w:val="19"/>
              </w:rPr>
              <w:t>Paste one description; get category, NIGP class, confidence, and the rule that fired.</w:t>
            </w:r>
          </w:p>
        </w:tc>
      </w:tr>
      <w:tr>
        <w:tc>
          <w:tcPr>
            <w:tcW w:type="dxa" w:w="2608"/>
          </w:tcPr>
          <w:p>
            <w:r>
              <w:rPr>
                <w:rFonts w:ascii="Calibri" w:hAnsi="Calibri"/>
                <w:sz w:val="19"/>
              </w:rPr>
              <w:t>Bulk Classify</w:t>
            </w:r>
          </w:p>
        </w:tc>
        <w:tc>
          <w:tcPr>
            <w:tcW w:type="dxa" w:w="6917"/>
          </w:tcPr>
          <w:p>
            <w:r>
              <w:rPr>
                <w:rFonts w:ascii="Calibri" w:hAnsi="Calibri"/>
                <w:sz w:val="19"/>
              </w:rPr>
              <w:t>Upload a spreadsheet of descriptions; download it back with a category on every row.</w:t>
            </w:r>
          </w:p>
        </w:tc>
      </w:tr>
      <w:tr>
        <w:tc>
          <w:tcPr>
            <w:tcW w:type="dxa" w:w="2608"/>
            <w:shd w:val="clear" w:color="auto" w:fill="D6EEF9"/>
          </w:tcPr>
          <w:p>
            <w:r>
              <w:rPr>
                <w:rFonts w:ascii="Calibri" w:hAnsi="Calibri"/>
                <w:sz w:val="19"/>
              </w:rPr>
              <w:t>Procurement Taxonomy Logic</w:t>
            </w:r>
          </w:p>
        </w:tc>
        <w:tc>
          <w:tcPr>
            <w:tcW w:type="dxa" w:w="6917"/>
            <w:shd w:val="clear" w:color="auto" w:fill="D6EEF9"/>
          </w:tcPr>
          <w:p>
            <w:r>
              <w:rPr>
                <w:rFonts w:ascii="Calibri" w:hAnsi="Calibri"/>
                <w:sz w:val="19"/>
              </w:rPr>
              <w:t>Visual walkthrough of the three levels and the four tiers.</w:t>
            </w:r>
          </w:p>
        </w:tc>
      </w:tr>
      <w:tr>
        <w:tc>
          <w:tcPr>
            <w:tcW w:type="dxa" w:w="2608"/>
          </w:tcPr>
          <w:p>
            <w:r>
              <w:rPr>
                <w:rFonts w:ascii="Calibri" w:hAnsi="Calibri"/>
                <w:sz w:val="19"/>
              </w:rPr>
              <w:t>Methodology</w:t>
            </w:r>
          </w:p>
        </w:tc>
        <w:tc>
          <w:tcPr>
            <w:tcW w:type="dxa" w:w="6917"/>
          </w:tcPr>
          <w:p>
            <w:r>
              <w:rPr>
                <w:rFonts w:ascii="Calibri" w:hAnsi="Calibri"/>
                <w:sz w:val="19"/>
              </w:rPr>
              <w:t>The full build narrative and defensibility argument.</w:t>
            </w:r>
          </w:p>
        </w:tc>
      </w:tr>
      <w:tr>
        <w:tc>
          <w:tcPr>
            <w:tcW w:type="dxa" w:w="2608"/>
            <w:shd w:val="clear" w:color="auto" w:fill="D6EEF9"/>
          </w:tcPr>
          <w:p>
            <w:r>
              <w:rPr>
                <w:rFonts w:ascii="Calibri" w:hAnsi="Calibri"/>
                <w:sz w:val="19"/>
              </w:rPr>
              <w:t>Business Categories</w:t>
            </w:r>
          </w:p>
        </w:tc>
        <w:tc>
          <w:tcPr>
            <w:tcW w:type="dxa" w:w="6917"/>
            <w:shd w:val="clear" w:color="auto" w:fill="D6EEF9"/>
          </w:tcPr>
          <w:p>
            <w:r>
              <w:rPr>
                <w:rFonts w:ascii="Calibri" w:hAnsi="Calibri"/>
                <w:sz w:val="19"/>
              </w:rPr>
              <w:t>The 17 categories and what rolls into each.</w:t>
            </w:r>
          </w:p>
        </w:tc>
      </w:tr>
      <w:tr>
        <w:tc>
          <w:tcPr>
            <w:tcW w:type="dxa" w:w="2608"/>
          </w:tcPr>
          <w:p>
            <w:r>
              <w:rPr>
                <w:rFonts w:ascii="Calibri" w:hAnsi="Calibri"/>
                <w:sz w:val="19"/>
              </w:rPr>
              <w:t>Rule Lookup</w:t>
            </w:r>
          </w:p>
        </w:tc>
        <w:tc>
          <w:tcPr>
            <w:tcW w:type="dxa" w:w="6917"/>
          </w:tcPr>
          <w:p>
            <w:r>
              <w:rPr>
                <w:rFonts w:ascii="Calibri" w:hAnsi="Calibri"/>
                <w:sz w:val="19"/>
              </w:rPr>
              <w:t>Search all 7,046 rules to see exactly how any phrase routes and why.</w:t>
            </w:r>
          </w:p>
        </w:tc>
      </w:tr>
    </w:tbl>
    <w:p>
      <w:pPr>
        <w:spacing w:after="120"/>
      </w:pPr>
      <w:r>
        <w:rPr>
          <w:rFonts w:ascii="Calibri" w:hAnsi="Calibri"/>
          <w:sz w:val="22"/>
        </w:rPr>
        <w:t>The address and password are maintained by the project author — request access from James. Everyday workflows: use Classify to answer "what category is this?"; use Rule Lookup to answer "why did it decide that?"</w:t>
      </w:r>
    </w:p>
    <w:p>
      <w:pPr>
        <w:spacing w:before="200" w:after="40"/>
      </w:pPr>
      <w:r>
        <w:rPr>
          <w:rFonts w:ascii="Calibri" w:hAnsi="Calibri"/>
          <w:b/>
          <w:color w:val="41B6E6"/>
          <w:sz w:val="26"/>
        </w:rPr>
        <w:t>5B.  The command line (advanced / technical users)</w:t>
      </w:r>
    </w:p>
    <w:p>
      <w:pPr>
        <w:spacing w:after="120"/>
      </w:pPr>
      <w:r>
        <w:rPr>
          <w:rFonts w:ascii="Calibri" w:hAnsi="Calibri"/>
          <w:sz w:val="22"/>
        </w:rPr>
        <w:t>From a terminal in the project environment, classify a single description with:  python spend-analysis/scripts/classifier_JHK3.py --describe "PASTE DESCRIPTION HERE". It prints the Business Category, NIGP code, confidence, and the rule that fired.</w:t>
      </w:r>
    </w:p>
    <w:p>
      <w:pPr>
        <w:pBdr>
          <w:bottom w:val="single" w:sz="18" w:space="1" w:color="41B6E6"/>
        </w:pBdr>
        <w:spacing w:before="280" w:after="120"/>
      </w:pPr>
      <w:r>
        <w:rPr>
          <w:rFonts w:ascii="Calibri" w:hAnsi="Calibri"/>
          <w:b/>
          <w:color w:val="002F6C"/>
          <w:sz w:val="32"/>
        </w:rPr>
        <w:t>6.  HOW TO FIX OR IMPROVE A CLASSIFICATION — PERMANENTLY</w:t>
      </w:r>
    </w:p>
    <w:p>
      <w:pPr>
        <w:spacing w:after="120"/>
      </w:pPr>
      <w:r>
        <w:rPr>
          <w:rFonts w:ascii="Calibri" w:hAnsi="Calibri"/>
          <w:sz w:val="22"/>
        </w:rPr>
        <w:t>This is the maintenance loop, and it is deliberately simple: teach it once, and every future similar description is right. To add a rule, open keyword_rules_DRAFT_JHK3.csv in Excel and add a row with: the pattern text to match; the match type (contains / starts_with / exact); the correct Business Category (one of the 17, spelled exactly); the correct NIGP class (verified against the reference table — never guessed); an optional 5-digit item; a match level (broad for normal cases); and a short note. Save — it takes effect immediately in the web app and CLI.</w:t>
      </w:r>
    </w:p>
    <w:tbl>
      <w:tblPr>
        <w:tblW w:type="auto" w:w="0"/>
        <w:tblLayout w:type="autofit"/>
        <w:tblLook w:firstColumn="1" w:firstRow="1" w:lastColumn="0" w:lastRow="0" w:noHBand="0" w:noVBand="1" w:val="04A0"/>
      </w:tblPr>
      <w:tblGrid>
        <w:gridCol w:w="10200"/>
      </w:tblGrid>
      <w:tr>
        <w:tc>
          <w:tcPr>
            <w:tcW w:type="dxa" w:w="10200"/>
            <w:shd w:val="clear" w:color="auto" w:fill="D6EEF9"/>
            <w:tcMar>
              <w:top w:w="120" w:type="dxa"/>
              <w:left w:w="120" w:type="dxa"/>
              <w:bottom w:w="120" w:type="dxa"/>
              <w:right w:w="120" w:type="dxa"/>
            </w:tcMar>
          </w:tcPr>
          <w:p>
            <w:pPr>
              <w:spacing w:after="40"/>
            </w:pPr>
            <w:r/>
            <w:r>
              <w:rPr>
                <w:rFonts w:ascii="Calibri" w:hAnsi="Calibri"/>
                <w:b/>
                <w:color w:val="DA291C"/>
                <w:sz w:val="22"/>
              </w:rPr>
              <w:t>WORKED EXAMPLE — THE "FENCE" FIX (2026-08-07)</w:t>
            </w:r>
          </w:p>
          <w:p>
            <w:r>
              <w:rPr>
                <w:rFonts w:ascii="Calibri" w:hAnsi="Calibri"/>
                <w:color w:val="002F6C"/>
                <w:sz w:val="22"/>
              </w:rPr>
              <w:t>A user typed "fence" and got no result. Investigation showed there was no rule for the bare word, and the one related rule pointed at the wrong category. The actual data settled it: every fence row was a landscape salt-fence service, and the NIGP item for chain-link fence/guardrail repair sits under class 988 — Landscaping, Grounds &amp; Irrigation. Three rules were added/aligned to that verified home. "fence," "fencing," and "chain link fence repair" now all classify correctly. That is the whole maintenance loop: find the gap, verify the correct NIGP home against the reference table, and close it with a one-line rule.</w:t>
            </w:r>
          </w:p>
        </w:tc>
      </w:tr>
    </w:tbl>
    <w:p>
      <w:pPr>
        <w:spacing w:after="120"/>
      </w:pPr>
    </w:p>
    <w:p>
      <w:pPr>
        <w:pBdr>
          <w:bottom w:val="single" w:sz="18" w:space="1" w:color="41B6E6"/>
        </w:pBdr>
        <w:spacing w:before="280" w:after="120"/>
      </w:pPr>
      <w:r>
        <w:rPr>
          <w:rFonts w:ascii="Calibri" w:hAnsi="Calibri"/>
          <w:b/>
          <w:color w:val="002F6C"/>
          <w:sz w:val="32"/>
        </w:rPr>
        <w:t>7.  RECENT IMPROVEMENT — THE INTERACTIVE ROBUSTNESS PASS (2026-08-07)</w:t>
      </w:r>
    </w:p>
    <w:p>
      <w:pPr>
        <w:spacing w:after="120"/>
      </w:pPr>
      <w:r>
        <w:rPr>
          <w:rFonts w:ascii="Calibri" w:hAnsi="Calibri"/>
          <w:sz w:val="22"/>
        </w:rPr>
        <w:t>The "fence" report surfaced a broader pattern: the interactive tool only answers when typed words match a rule, and many short common terms had no rule (even though the full 784K batch was already 100% mapped, because real descriptions are long and detailed). A 45-word test of everyday procurement terms found only 17 of 45 (38%) returned a result.</w:t>
      </w:r>
    </w:p>
    <w:p>
      <w:pPr>
        <w:spacing w:after="120"/>
      </w:pPr>
      <w:r>
        <w:rPr>
          <w:rFonts w:ascii="Calibri" w:hAnsi="Calibri"/>
          <w:sz w:val="22"/>
        </w:rPr>
        <w:t>In response, 34 curated rules were added — each mapped to its correct NIGP class verified against the reference table, deliberately NOT auto-matched (which would produce confident-but-wrong answers). Coverage on those common terms rose to 35 of 45 (78%), and the plain-English regression test moved to a clean 72/72 with zero mis-categorizations. Runtime stayed rules-only, no API key. Newly covered terms include gloves, uniforms, ammunition, PPE/masks, paper towels, carpet, road salt/deicer, translation, security guards, defibrillator, batteries, electrical wire, forklift, toner, window cleaning, snow removal, fuel, and pavement marking.</w:t>
      </w:r>
    </w:p>
    <w:p>
      <w:pPr>
        <w:spacing w:after="120"/>
      </w:pPr>
      <w:r>
        <w:rPr>
          <w:rFonts w:ascii="Calibri" w:hAnsi="Calibri"/>
          <w:sz w:val="22"/>
        </w:rPr>
        <w:t>Honest limit: a handful of terms (e.g. hand sanitizer, traffic signals, surveying, architecture services, scaffolding) still have no home, because the working NIGP reference contains only the ~470 codes that actually appeared in the source data. Covering those would require importing the full official NIGP dictionary — a separate, deliberate decision.</w:t>
      </w:r>
    </w:p>
    <w:p>
      <w:pPr>
        <w:pBdr>
          <w:bottom w:val="single" w:sz="18" w:space="1" w:color="41B6E6"/>
        </w:pBdr>
        <w:spacing w:before="280" w:after="120"/>
      </w:pPr>
      <w:r>
        <w:rPr>
          <w:rFonts w:ascii="Calibri" w:hAnsi="Calibri"/>
          <w:b/>
          <w:color w:val="002F6C"/>
          <w:sz w:val="32"/>
        </w:rPr>
        <w:t>8.  READING A RESULT — WHAT EVERY FIELD MEANS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00"/>
        <w:gridCol w:w="5100"/>
      </w:tblGrid>
      <w:tr>
        <w:tc>
          <w:tcPr>
            <w:tcW w:type="dxa" w:w="2835"/>
            <w:shd w:val="clear" w:color="auto" w:fill="002F6C"/>
          </w:tcPr>
          <w:p>
            <w:r>
              <w:rPr>
                <w:rFonts w:ascii="Calibri" w:hAnsi="Calibri"/>
                <w:b/>
                <w:color w:val="FFFFFF"/>
                <w:sz w:val="20"/>
              </w:rPr>
              <w:t>Field</w:t>
            </w:r>
          </w:p>
        </w:tc>
        <w:tc>
          <w:tcPr>
            <w:tcW w:type="dxa" w:w="6690"/>
            <w:shd w:val="clear" w:color="auto" w:fill="002F6C"/>
          </w:tcPr>
          <w:p>
            <w:r>
              <w:rPr>
                <w:rFonts w:ascii="Calibri" w:hAnsi="Calibri"/>
                <w:b/>
                <w:color w:val="FFFFFF"/>
                <w:sz w:val="20"/>
              </w:rPr>
              <w:t>What it tells you</w:t>
            </w:r>
          </w:p>
        </w:tc>
      </w:tr>
      <w:tr>
        <w:tc>
          <w:tcPr>
            <w:tcW w:type="dxa" w:w="2835"/>
            <w:shd w:val="clear" w:color="auto" w:fill="D6EEF9"/>
          </w:tcPr>
          <w:p>
            <w:r>
              <w:rPr>
                <w:rFonts w:ascii="Calibri" w:hAnsi="Calibri"/>
                <w:sz w:val="19"/>
              </w:rPr>
              <w:t>Business_Category</w:t>
            </w:r>
          </w:p>
        </w:tc>
        <w:tc>
          <w:tcPr>
            <w:tcW w:type="dxa" w:w="6690"/>
            <w:shd w:val="clear" w:color="auto" w:fill="D6EEF9"/>
          </w:tcPr>
          <w:p>
            <w:r>
              <w:rPr>
                <w:rFonts w:ascii="Calibri" w:hAnsi="Calibri"/>
                <w:sz w:val="19"/>
              </w:rPr>
              <w:t>The main answer — one of the 17 buckets.</w:t>
            </w:r>
          </w:p>
        </w:tc>
      </w:tr>
      <w:tr>
        <w:tc>
          <w:tcPr>
            <w:tcW w:type="dxa" w:w="2835"/>
          </w:tcPr>
          <w:p>
            <w:r>
              <w:rPr>
                <w:rFonts w:ascii="Calibri" w:hAnsi="Calibri"/>
                <w:sz w:val="19"/>
              </w:rPr>
              <w:t>NIGP_Class_3digit</w:t>
            </w:r>
          </w:p>
        </w:tc>
        <w:tc>
          <w:tcPr>
            <w:tcW w:type="dxa" w:w="6690"/>
          </w:tcPr>
          <w:p>
            <w:r>
              <w:rPr>
                <w:rFonts w:ascii="Calibri" w:hAnsi="Calibri"/>
                <w:sz w:val="19"/>
              </w:rPr>
              <w:t>The industry-standard 3-digit commodity class.</w:t>
            </w:r>
          </w:p>
        </w:tc>
      </w:tr>
      <w:tr>
        <w:tc>
          <w:tcPr>
            <w:tcW w:type="dxa" w:w="2835"/>
            <w:shd w:val="clear" w:color="auto" w:fill="D6EEF9"/>
          </w:tcPr>
          <w:p>
            <w:r>
              <w:rPr>
                <w:rFonts w:ascii="Calibri" w:hAnsi="Calibri"/>
                <w:sz w:val="19"/>
              </w:rPr>
              <w:t>NIGP_Item_5digit</w:t>
            </w:r>
          </w:p>
        </w:tc>
        <w:tc>
          <w:tcPr>
            <w:tcW w:type="dxa" w:w="6690"/>
            <w:shd w:val="clear" w:color="auto" w:fill="D6EEF9"/>
          </w:tcPr>
          <w:p>
            <w:r>
              <w:rPr>
                <w:rFonts w:ascii="Calibri" w:hAnsi="Calibri"/>
                <w:sz w:val="19"/>
              </w:rPr>
              <w:t>The specific 5-digit item, when the text supports it (else blank).</w:t>
            </w:r>
          </w:p>
        </w:tc>
      </w:tr>
      <w:tr>
        <w:tc>
          <w:tcPr>
            <w:tcW w:type="dxa" w:w="2835"/>
          </w:tcPr>
          <w:p>
            <w:r>
              <w:rPr>
                <w:rFonts w:ascii="Calibri" w:hAnsi="Calibri"/>
                <w:sz w:val="19"/>
              </w:rPr>
              <w:t>NIGP_Match_Level</w:t>
            </w:r>
          </w:p>
        </w:tc>
        <w:tc>
          <w:tcPr>
            <w:tcW w:type="dxa" w:w="6690"/>
          </w:tcPr>
          <w:p>
            <w:r>
              <w:rPr>
                <w:rFonts w:ascii="Calibri" w:hAnsi="Calibri"/>
                <w:sz w:val="19"/>
              </w:rPr>
              <w:t>exact = specific item • broad = 3-digit class only • review = flagged.</w:t>
            </w:r>
          </w:p>
        </w:tc>
      </w:tr>
      <w:tr>
        <w:tc>
          <w:tcPr>
            <w:tcW w:type="dxa" w:w="2835"/>
            <w:shd w:val="clear" w:color="auto" w:fill="D6EEF9"/>
          </w:tcPr>
          <w:p>
            <w:r>
              <w:rPr>
                <w:rFonts w:ascii="Calibri" w:hAnsi="Calibri"/>
                <w:sz w:val="19"/>
              </w:rPr>
              <w:t>Classification_Confidence</w:t>
            </w:r>
          </w:p>
        </w:tc>
        <w:tc>
          <w:tcPr>
            <w:tcW w:type="dxa" w:w="6690"/>
            <w:shd w:val="clear" w:color="auto" w:fill="D6EEF9"/>
          </w:tcPr>
          <w:p>
            <w:r>
              <w:rPr>
                <w:rFonts w:ascii="Calibri" w:hAnsi="Calibri"/>
                <w:sz w:val="19"/>
              </w:rPr>
              <w:t>High / Medium / Low (or AI-high/medium/low for Tier 3).</w:t>
            </w:r>
          </w:p>
        </w:tc>
      </w:tr>
      <w:tr>
        <w:tc>
          <w:tcPr>
            <w:tcW w:type="dxa" w:w="2835"/>
          </w:tcPr>
          <w:p>
            <w:r>
              <w:rPr>
                <w:rFonts w:ascii="Calibri" w:hAnsi="Calibri"/>
                <w:sz w:val="19"/>
              </w:rPr>
              <w:t>Classification_Method</w:t>
            </w:r>
          </w:p>
        </w:tc>
        <w:tc>
          <w:tcPr>
            <w:tcW w:type="dxa" w:w="6690"/>
          </w:tcPr>
          <w:p>
            <w:r>
              <w:rPr>
                <w:rFonts w:ascii="Calibri" w:hAnsi="Calibri"/>
                <w:sz w:val="19"/>
              </w:rPr>
              <w:t>Which of the four tiers produced the answer.</w:t>
            </w:r>
          </w:p>
        </w:tc>
      </w:tr>
      <w:tr>
        <w:tc>
          <w:tcPr>
            <w:tcW w:type="dxa" w:w="2835"/>
            <w:shd w:val="clear" w:color="auto" w:fill="D6EEF9"/>
          </w:tcPr>
          <w:p>
            <w:r>
              <w:rPr>
                <w:rFonts w:ascii="Calibri" w:hAnsi="Calibri"/>
                <w:sz w:val="19"/>
              </w:rPr>
              <w:t>Classification_Reason</w:t>
            </w:r>
          </w:p>
        </w:tc>
        <w:tc>
          <w:tcPr>
            <w:tcW w:type="dxa" w:w="6690"/>
            <w:shd w:val="clear" w:color="auto" w:fill="D6EEF9"/>
          </w:tcPr>
          <w:p>
            <w:r>
              <w:rPr>
                <w:rFonts w:ascii="Calibri" w:hAnsi="Calibri"/>
                <w:sz w:val="19"/>
              </w:rPr>
              <w:t>The exact rule that fired — the audit trail.</w:t>
            </w:r>
          </w:p>
        </w:tc>
      </w:tr>
    </w:tbl>
    <w:p>
      <w:pPr>
        <w:pBdr>
          <w:bottom w:val="single" w:sz="18" w:space="1" w:color="41B6E6"/>
        </w:pBdr>
        <w:spacing w:before="280" w:after="120"/>
      </w:pPr>
      <w:r>
        <w:rPr>
          <w:rFonts w:ascii="Calibri" w:hAnsi="Calibri"/>
          <w:b/>
          <w:color w:val="002F6C"/>
          <w:sz w:val="32"/>
        </w:rPr>
        <w:t>9.  LIMITATIONS — STATED PLAINLY</w:t>
      </w:r>
    </w:p>
    <w:p>
      <w:pPr>
        <w:pStyle w:val="ListBullet"/>
      </w:pPr>
      <w:r>
        <w:rPr>
          <w:rFonts w:ascii="Calibri" w:hAnsi="Calibri"/>
          <w:sz w:val="22"/>
        </w:rPr>
        <w:t>Single-source origin. The taxonomy came from one dataset; new extracts may reveal commodity types not represented yet.</w:t>
      </w:r>
    </w:p>
    <w:p>
      <w:pPr>
        <w:pStyle w:val="ListBullet"/>
      </w:pPr>
      <w:r>
        <w:rPr>
          <w:rFonts w:ascii="Calibri" w:hAnsi="Calibri"/>
          <w:sz w:val="22"/>
        </w:rPr>
        <w:t>Description-quality dependent. Thin descriptions are resolved at Tier 3 with a low-confidence tag; empty ones are tagged, not guessed.</w:t>
      </w:r>
    </w:p>
    <w:p>
      <w:pPr>
        <w:pStyle w:val="ListBullet"/>
      </w:pPr>
      <w:r>
        <w:rPr>
          <w:rFonts w:ascii="Calibri" w:hAnsi="Calibri"/>
          <w:sz w:val="22"/>
        </w:rPr>
        <w:t>Partial NIGP working set. The ~138 classes / ~470 items in use are a subset of the full ~9,000-code NIGP catalog.</w:t>
      </w:r>
    </w:p>
    <w:p>
      <w:pPr>
        <w:pStyle w:val="ListBullet"/>
      </w:pPr>
      <w:r>
        <w:rPr>
          <w:rFonts w:ascii="Calibri" w:hAnsi="Calibri"/>
          <w:sz w:val="22"/>
        </w:rPr>
        <w:t>No vendor or dollar signal, by design. The answer reflects what was bought, not who sold it or how much it cost.</w:t>
      </w:r>
    </w:p>
    <w:p>
      <w:pPr>
        <w:pBdr>
          <w:bottom w:val="single" w:sz="18" w:space="1" w:color="41B6E6"/>
        </w:pBdr>
        <w:spacing w:before="280" w:after="120"/>
      </w:pPr>
      <w:r>
        <w:rPr>
          <w:rFonts w:ascii="Calibri" w:hAnsi="Calibri"/>
          <w:b/>
          <w:color w:val="002F6C"/>
          <w:sz w:val="32"/>
        </w:rPr>
        <w:t>10.  KEEPING IT TRUSTWORTHY OVER TIME — GOVERNANCE</w:t>
      </w:r>
    </w:p>
    <w:p>
      <w:pPr>
        <w:pStyle w:val="ListBullet"/>
      </w:pPr>
      <w:r>
        <w:rPr>
          <w:rFonts w:ascii="Calibri" w:hAnsi="Calibri"/>
          <w:b/>
          <w:color w:val="002F6C"/>
          <w:sz w:val="22"/>
        </w:rPr>
        <w:t>1.</w:t>
      </w:r>
      <w:r>
        <w:rPr>
          <w:rFonts w:ascii="Calibri" w:hAnsi="Calibri"/>
          <w:sz w:val="22"/>
        </w:rPr>
        <w:t xml:space="preserve">  Rule-file ownership. One named owner for the curated rules; add rules as new commodities appear. The base has grown 148 to 246 to 280.</w:t>
      </w:r>
    </w:p>
    <w:p>
      <w:pPr>
        <w:pStyle w:val="ListBullet"/>
      </w:pPr>
      <w:r>
        <w:rPr>
          <w:rFonts w:ascii="Calibri" w:hAnsi="Calibri"/>
          <w:b/>
          <w:color w:val="002F6C"/>
          <w:sz w:val="22"/>
        </w:rPr>
        <w:t>2.</w:t>
      </w:r>
      <w:r>
        <w:rPr>
          <w:rFonts w:ascii="Calibri" w:hAnsi="Calibri"/>
          <w:sz w:val="22"/>
        </w:rPr>
        <w:t xml:space="preserve">  AI-tier audit cadence. Quarterly, sample AI-medium/AI-low rows; where the AI got a recurring pattern right, promote it into a curated rule.</w:t>
      </w:r>
    </w:p>
    <w:p>
      <w:pPr>
        <w:pStyle w:val="ListBullet"/>
      </w:pPr>
      <w:r>
        <w:rPr>
          <w:rFonts w:ascii="Calibri" w:hAnsi="Calibri"/>
          <w:b/>
          <w:color w:val="002F6C"/>
          <w:sz w:val="22"/>
        </w:rPr>
        <w:t>3.</w:t>
      </w:r>
      <w:r>
        <w:rPr>
          <w:rFonts w:ascii="Calibri" w:hAnsi="Calibri"/>
          <w:sz w:val="22"/>
        </w:rPr>
        <w:t xml:space="preserve">  Annual taxonomy review. Confirm the 17 categories still fit reporting needs.</w:t>
      </w:r>
    </w:p>
    <w:p>
      <w:pPr>
        <w:pStyle w:val="ListBullet"/>
      </w:pPr>
      <w:r>
        <w:rPr>
          <w:rFonts w:ascii="Calibri" w:hAnsi="Calibri"/>
          <w:b/>
          <w:color w:val="002F6C"/>
          <w:sz w:val="22"/>
        </w:rPr>
        <w:t>4.</w:t>
      </w:r>
      <w:r>
        <w:rPr>
          <w:rFonts w:ascii="Calibri" w:hAnsi="Calibri"/>
          <w:sz w:val="22"/>
        </w:rPr>
        <w:t xml:space="preserve">  Blind audit benchmark. Once a year, independently classify 100 random rows blind and compare; track the agreement rate by tier.</w:t>
      </w:r>
    </w:p>
    <w:p>
      <w:pPr>
        <w:spacing w:after="120"/>
      </w:pPr>
      <w:r>
        <w:rPr>
          <w:rFonts w:ascii="Calibri" w:hAnsi="Calibri"/>
          <w:sz w:val="22"/>
        </w:rPr>
        <w:t>Questions direct to James H. Kirby III, CSCP, MS-SCM, project author. The full methodology and audit trail are in METHODOLOGY_JHK3.md, and every classification decision can be traced to the exact rule that produced it.</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