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002F6C"/>
          <w:sz w:val="44"/>
        </w:rPr>
        <w:t>Chicago's First In-House Procurement Taxonomy</w:t>
      </w:r>
    </w:p>
    <w:p>
      <w:pPr>
        <w:spacing w:after="0"/>
        <w:pBdr>
          <w:bottom w:val="single" w:sz="18" w:space="1" w:color="DA291C"/>
        </w:pBdr>
      </w:pPr>
      <w:r>
        <w:rPr>
          <w:rFonts w:ascii="Calibri" w:hAnsi="Calibri"/>
          <w:i/>
          <w:color w:val="41B6E6"/>
          <w:sz w:val="26"/>
        </w:rPr>
        <w:t>Executive Brief — NIGP-Aligned Classification Engine</w:t>
      </w:r>
    </w:p>
    <w:p>
      <w:pPr>
        <w:spacing w:after="240"/>
      </w:pPr>
      <w:r>
        <w:rPr>
          <w:rFonts w:ascii="Calibri" w:hAnsi="Calibri"/>
          <w:color w:val="595959"/>
          <w:sz w:val="18"/>
        </w:rPr>
        <w:t>City of Chicago  •  Department of Procurement Services  •  Prepared by James H. Kirby III, CSCP, MS-SCM  •  30 April 2026  •  Methodology v1.1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THE BOTTOM LINE</w:t>
      </w:r>
    </w:p>
    <w:p>
      <w:pPr>
        <w:spacing w:after="120"/>
      </w:pPr>
      <w:r>
        <w:rPr>
          <w:rFonts w:ascii="Calibri" w:hAnsi="Calibri"/>
          <w:sz w:val="22"/>
        </w:rPr>
        <w:t>Until now, Chicago has not maintained its own commodity classification of what the City buys. This project delivers the City's first internally-owned procurement taxonomy and a reusable classification engine that runs on every historical and future procurement extract — with no recurring vendor cost and a complete audit trail on every record.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6EE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DA291C"/>
                <w:sz w:val="22"/>
              </w:rPr>
              <w:t>HEADLINE OUTCOME — Production Run, 14 May 2026 (100% Mapped)</w:t>
            </w:r>
          </w:p>
          <w:p>
            <w:r>
              <w:rPr>
                <w:rFonts w:ascii="Calibri" w:hAnsi="Calibri"/>
                <w:color w:val="002F6C"/>
                <w:sz w:val="22"/>
              </w:rPr>
              <w:t>784,556 records classified across City spend (AP activity years 2017, 2020, 2021, 2023)  •  100% mapped — 0 rows remain in review queue  •  87.7% via deterministic keyword rule  •  11.9% via AI-assist fallback (one-time AI mining harvested at build, no runtime API cost)  •  0.3% via Chicago account-code pattern  •  0.1% empty-description rows explicitly tagged "Unclassified".</w:t>
            </w:r>
          </w:p>
        </w:tc>
      </w:tr>
    </w:tbl>
    <w:p>
      <w:pPr>
        <w:spacing w:after="120"/>
      </w:pP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WHAT WE BUILT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Three-level taxonomy.</w:t>
      </w:r>
      <w:r>
        <w:rPr>
          <w:rFonts w:ascii="Calibri" w:hAnsi="Calibri"/>
          <w:sz w:val="22"/>
        </w:rPr>
        <w:t xml:space="preserve">  Three classification levels are assigned to every record: a leadership-friendly Business Category, a 3-digit NIGP Class, and (where description supports it) a 5-digit NIGP Item.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17 Business Categories.</w:t>
      </w:r>
      <w:r>
        <w:rPr>
          <w:rFonts w:ascii="Calibri" w:hAnsi="Calibri"/>
          <w:sz w:val="22"/>
        </w:rPr>
        <w:t xml:space="preserve">  17 mutually exclusive Business Categories cover everything Chicago buys — from Facilities Operations to Public Safety to Grants &amp; Pass-Through Funding.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NIGP-aligned.</w:t>
      </w:r>
      <w:r>
        <w:rPr>
          <w:rFonts w:ascii="Calibri" w:hAnsi="Calibri"/>
          <w:sz w:val="22"/>
        </w:rPr>
        <w:t xml:space="preserve">  Aligned to the public NIGP commodity framework used by U.S. public procurement entities. Enables peer benchmarking, audit defensibility, and future portability.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Two operating modes.</w:t>
      </w:r>
      <w:r>
        <w:rPr>
          <w:rFonts w:ascii="Calibri" w:hAnsi="Calibri"/>
          <w:sz w:val="22"/>
        </w:rPr>
        <w:t xml:space="preserve">  Same classifier supports bulk historical files and single-record paste-a-description for live PO work.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Procurement-staff editable.</w:t>
      </w:r>
      <w:r>
        <w:rPr>
          <w:rFonts w:ascii="Calibri" w:hAnsi="Calibri"/>
          <w:sz w:val="22"/>
        </w:rPr>
        <w:t xml:space="preserve">  Rules live in editable CSV files. Procurement staff add or retire rules without touching code.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HOW THE ENGINE DECIDES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Inputs used:</w:t>
      </w:r>
      <w:r>
        <w:rPr>
          <w:rFonts w:ascii="Calibri" w:hAnsi="Calibri"/>
          <w:sz w:val="22"/>
        </w:rPr>
        <w:t xml:space="preserve">  Description text from the PO and invoice fields, plus Chicago's own FMPS account/object/fund codes.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Inputs deliberately excluded:</w:t>
      </w:r>
      <w:r>
        <w:rPr>
          <w:rFonts w:ascii="Calibri" w:hAnsi="Calibri"/>
          <w:sz w:val="22"/>
        </w:rPr>
        <w:t xml:space="preserve">  Vendor name (a vendor can sell across many categories) and prior-supplied NIGP codes (another consultant's work product, not Chicago's authoritative judgment).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Decision pipeline:</w:t>
      </w:r>
      <w:r>
        <w:rPr>
          <w:rFonts w:ascii="Calibri" w:hAnsi="Calibri"/>
          <w:sz w:val="22"/>
        </w:rPr>
        <w:t xml:space="preserve">  First a hand-curated keyword rule, then an AI-mined long-tail keyword rule, then a Chicago account-code pattern. Anything still unmatched is filled at the AI-assist fallback layer from the saved one-time AI mining output (no runtime API calls).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Audit trail:</w:t>
      </w:r>
      <w:r>
        <w:rPr>
          <w:rFonts w:ascii="Calibri" w:hAnsi="Calibri"/>
          <w:sz w:val="22"/>
        </w:rPr>
        <w:t xml:space="preserve">  Every classified record carries the exact rule that fired, a confidence score, and a review flag. Procurement staff can trace any single decision end-to-end.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AI USE — LIMITED, TRANSPARENT, ONE-TIME</w:t>
      </w:r>
    </w:p>
    <w:p>
      <w:pPr>
        <w:spacing w:after="120"/>
      </w:pPr>
      <w:r>
        <w:rPr>
          <w:rFonts w:ascii="Calibri" w:hAnsi="Calibri"/>
          <w:sz w:val="22"/>
        </w:rPr>
        <w:t>The production classifier Chicago operates is rules-only. There is no AI in the runtime path — no API key, no internet dependency, no per-classification charge. AI was used once during the build, in a bounded way, to mine recurring patterns from the long tail of descriptions where no hand-curated rule applied. The AI's output was harvested into rules and frozen. Every AI-mined rule is auditable and editable.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PRODUCTION RESULTS — CLASSIFICATION METHOD BREAKDOWN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Classification Method</w:t>
            </w:r>
          </w:p>
        </w:tc>
        <w:tc>
          <w:tcPr>
            <w:tcW w:type="dxa" w:w="3400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Rows</w:t>
            </w:r>
          </w:p>
        </w:tc>
        <w:tc>
          <w:tcPr>
            <w:tcW w:type="dxa" w:w="3400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Keyword rule (hand-curated + AI-mined)</w:t>
            </w:r>
          </w:p>
        </w:tc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688,044</w:t>
            </w:r>
          </w:p>
        </w:tc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87.7%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/>
                <w:sz w:val="20"/>
              </w:rPr>
              <w:t>AI-assist fallback (one-time AI output, no runtime API)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sz w:val="20"/>
              </w:rPr>
              <w:t>93,518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sz w:val="20"/>
              </w:rPr>
              <w:t>11.9%</w:t>
            </w:r>
          </w:p>
        </w:tc>
      </w:tr>
      <w:tr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Chicago account-code pattern (subgrant disbursements)</w:t>
            </w:r>
          </w:p>
        </w:tc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2,028</w:t>
            </w:r>
          </w:p>
        </w:tc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0.3%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/>
                <w:sz w:val="20"/>
              </w:rPr>
              <w:t>Unclassified — No Description (explicitly tagged)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sz w:val="20"/>
              </w:rPr>
              <w:t>966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sz w:val="20"/>
              </w:rPr>
              <w:t>0.1%</w:t>
            </w:r>
          </w:p>
        </w:tc>
      </w:tr>
      <w:tr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784,556</w:t>
            </w:r>
          </w:p>
        </w:tc>
        <w:tc>
          <w:tcPr>
            <w:tcW w:type="dxa" w:w="3400"/>
            <w:shd w:val="clear" w:color="auto" w:fill="D6EEF9"/>
          </w:tcPr>
          <w:p>
            <w:r>
              <w:rPr>
                <w:rFonts w:ascii="Calibri" w:hAnsi="Calibri"/>
                <w:sz w:val="20"/>
              </w:rPr>
              <w:t>100.0%</w:t>
            </w:r>
          </w:p>
        </w:tc>
      </w:tr>
    </w:tbl>
    <w:p>
      <w:pPr>
        <w:spacing w:after="40"/>
      </w:pP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WHAT THIS MEANS FOR DPS LEADERSHIP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Reporting unlocked.</w:t>
      </w:r>
      <w:r>
        <w:rPr>
          <w:rFonts w:ascii="Calibri" w:hAnsi="Calibri"/>
          <w:sz w:val="22"/>
        </w:rPr>
        <w:t xml:space="preserve">  Spend $ totals, vendor consolidation analysis, and category benchmarking are now possible against a Chicago-owned, internally-defensible classification — not against a consultant's work product.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Repeatable.</w:t>
      </w:r>
      <w:r>
        <w:rPr>
          <w:rFonts w:ascii="Calibri" w:hAnsi="Calibri"/>
          <w:sz w:val="22"/>
        </w:rPr>
        <w:t xml:space="preserve">  The classifier runs on any future Chicago procurement extract with no code changes. Procurement staff edit the CSV rule files as new commodity types appear.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Audit-defensible.</w:t>
      </w:r>
      <w:r>
        <w:rPr>
          <w:rFonts w:ascii="Calibri" w:hAnsi="Calibri"/>
          <w:sz w:val="22"/>
        </w:rPr>
        <w:t xml:space="preserve">  AI was used once, with bounded inputs and full provenance metadata on every harvested rule. Any auditor can reconstruct how every record was classified.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Maintainable.</w:t>
      </w:r>
      <w:r>
        <w:rPr>
          <w:rFonts w:ascii="Calibri" w:hAnsi="Calibri"/>
          <w:sz w:val="22"/>
        </w:rPr>
        <w:t xml:space="preserve">  Every row is mapped to a Business Category. The 966 "Unclassified — No Description" rows are explicitly tagged so downstream consumers can filter on them rather than treat them as silent failures.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