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202124"/>
          <w:sz w:val="30"/>
          <w:szCs w:val="30"/>
          <w:highlight w:val="white"/>
        </w:rPr>
      </w:pPr>
      <w:r w:rsidDel="00000000" w:rsidR="00000000" w:rsidRPr="00000000">
        <w:rPr>
          <w:rFonts w:ascii="Times New Roman" w:cs="Times New Roman" w:eastAsia="Times New Roman" w:hAnsi="Times New Roman"/>
          <w:b w:val="1"/>
          <w:color w:val="202124"/>
          <w:sz w:val="30"/>
          <w:szCs w:val="30"/>
          <w:highlight w:val="white"/>
          <w:rtl w:val="0"/>
        </w:rPr>
        <w:t xml:space="preserve">Team Abstract Submission</w:t>
      </w:r>
    </w:p>
    <w:p w:rsidR="00000000" w:rsidDel="00000000" w:rsidP="00000000" w:rsidRDefault="00000000" w:rsidRPr="00000000" w14:paraId="00000002">
      <w:pPr>
        <w:jc w:val="righ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Data Analysis level 1 </w:t>
      </w:r>
    </w:p>
    <w:p w:rsidR="00000000" w:rsidDel="00000000" w:rsidP="00000000" w:rsidRDefault="00000000" w:rsidRPr="00000000" w14:paraId="00000003">
      <w:pPr>
        <w:jc w:val="righ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Team IC23019</w:t>
      </w:r>
    </w:p>
    <w:p w:rsidR="00000000" w:rsidDel="00000000" w:rsidP="00000000" w:rsidRDefault="00000000" w:rsidRPr="00000000" w14:paraId="00000004">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This analysis tries to identify the general trends of students who took Global Classes (GC) at the University of Maryland during two academic years since the Fall 2020 semester. We started with Exploratory Data Analysis (EDA) to analyze and interpret students’ gender, race/ethnicity, major, and academic term trends. While figuring out the general trends, we devised two open questions that can help Global Class Initiative (GCI) achieve its mission: 1) providing “Global Learning for all”  and 2) effective communication and engagement with faculty / institutional authorities who are interested in GC. We considered that GCI’s primary objective is to expand Global classes. Therefore, we tried to answer two questions with the objective: Why and How. More data analysis with Term, Year, Courses, and Student Status columns in a given data, we figured out that 95% of students taking GC are undergraduate and that the number of the opened class has an impact on the number of students who take GC. In addition, we identified that demand for GC is apparently seasonal. From these results, we suggest that it is reasonable to open more classes during a particular semester, in this case, the spring semester, to maximize the number of students taking GC.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