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Rule="auto"/>
        <w:rPr>
          <w:b w:val="1"/>
          <w:bCs w:val="1"/>
          <w:color w:val="172033"/>
          <w:sz w:val="46"/>
          <w:szCs w:val="46"/>
        </w:rPr>
      </w:pPr>
      <w:r w:rsidDel="00000000" w:rsidR="00000000" w:rsidRPr="00000000">
        <w:rPr>
          <w:b w:val="1"/>
          <w:bCs w:val="1"/>
          <w:color w:val="172033"/>
          <w:sz w:val="46"/>
          <w:szCs w:val="46"/>
          <w:rtl w:val="0"/>
        </w:rPr>
        <w:t xml:space="preserve">Entendimento do Negócio</w:t>
      </w:r>
    </w:p>
    <w:p w:rsidR="00000000" w:rsidDel="00000000" w:rsidP="00000000" w:rsidRDefault="00000000" w:rsidRPr="00000000" w14:paraId="00000002">
      <w:pPr>
        <w:spacing w:after="80" w:before="160" w:lineRule="auto"/>
        <w:rPr>
          <w:b w:val="1"/>
          <w:bCs w:val="1"/>
          <w:color w:val="172033"/>
          <w:sz w:val="24"/>
          <w:szCs w:val="24"/>
        </w:rPr>
      </w:pPr>
      <w:r w:rsidDel="00000000" w:rsidR="00000000" w:rsidRPr="00000000">
        <w:rPr>
          <w:b w:val="1"/>
          <w:bCs w:val="1"/>
          <w:color w:val="172033"/>
          <w:sz w:val="24"/>
          <w:szCs w:val="24"/>
          <w:rtl w:val="0"/>
        </w:rPr>
        <w:t xml:space="preserve">01_Modelo_Entendimento_Negocio_Organizador_Interno_TJPE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5f6b7a"/>
          <w:sz w:val="26"/>
          <w:szCs w:val="26"/>
          <w:rtl w:val="0"/>
        </w:rPr>
        <w:t xml:space="preserve">Organizador interno, checklist e construtor do Project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color w:val="2e74b5"/>
          <w:sz w:val="19"/>
          <w:szCs w:val="19"/>
          <w:rtl w:val="0"/>
        </w:rPr>
        <w:t xml:space="preserve">MODELO 01 | CASO TJPE — PRESCRIÇÃO PENAL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1.999999999999993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0e6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e87531"/>
                <w:rtl w:val="0"/>
              </w:rPr>
              <w:t xml:space="preserve">Project Charter: </w:t>
            </w:r>
            <w:r w:rsidDel="00000000" w:rsidR="00000000" w:rsidRPr="00000000">
              <w:rPr>
                <w:color w:val="000000"/>
                <w:rtl w:val="0"/>
              </w:rPr>
              <w:t xml:space="preserve">O contrato de uma página do projeto: por que ele existe, qual decisão apoia, o que está no escopo, quem responde por ele e como o sucesso será avaliado.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1.999999999999993" w:type="dxa"/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TJPE01 — Análise de prescrição penal na conferência da petição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Versão do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v0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Responsável pelo preenchimento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 definir pela organização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Patrocinador / dono da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Magistrado solicitante, vara criminal — nome a confirmar com o TJPE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Estado da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Em elaboração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1. Problema, decisão e ação</w:t>
      </w:r>
    </w:p>
    <w:p w:rsidR="00000000" w:rsidDel="00000000" w:rsidP="00000000" w:rsidRDefault="00000000" w:rsidRPr="00000000" w14:paraId="00000013">
      <w:pPr>
        <w:keepNext w:val="1"/>
        <w:spacing w:after="40" w:before="60" w:lineRule="auto"/>
        <w:rPr>
          <w:b w:val="1"/>
          <w:bCs w:val="1"/>
          <w:color w:val="172033"/>
          <w:highlight w:val="yellow"/>
        </w:rPr>
      </w:pPr>
      <w:r w:rsidDel="00000000" w:rsidR="00000000" w:rsidRPr="00000000">
        <w:rPr>
          <w:b w:val="1"/>
          <w:bCs w:val="1"/>
          <w:color w:val="172033"/>
          <w:rtl w:val="0"/>
        </w:rPr>
        <w:t xml:space="preserve">Qual problema organizacional justifica o projeto?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40" w:before="60" w:lineRule="auto"/>
        <w:rPr/>
      </w:pPr>
      <w:r w:rsidDel="00000000" w:rsidR="00000000" w:rsidRPr="00000000">
        <w:rPr>
          <w:color w:val="172033"/>
          <w:rtl w:val="0"/>
        </w:rPr>
        <w:t xml:space="preserve">Processos criminais já atingidos pela prescrição percorrem toda a tramitação — citação, resposta da defesa, audiência de instrução, alegações finais e sentença — antes de a prescrição ser reconhecida. A verificação depende hoje de análise manual do servidor da vara criminal, feita delito a delito e artigo a artigo, e essa capacidade é limitada. O pedido de origem — “um agente de IA capaz de identificar se um processo prescreveu” — não trazia escopo, momento de uso nem critério de aceitação.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40" w:before="60" w:lineRule="auto"/>
        <w:rPr/>
      </w:pPr>
      <w:r w:rsidDel="00000000" w:rsidR="00000000" w:rsidRPr="00000000">
        <w:rPr>
          <w:b w:val="1"/>
          <w:bCs w:val="1"/>
          <w:color w:val="172033"/>
          <w:rtl w:val="0"/>
        </w:rPr>
        <w:t xml:space="preserve">Qual decisão será apoiada?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Rule="auto"/>
        <w:ind w:left="259" w:firstLine="0"/>
        <w:rPr/>
      </w:pPr>
      <w:r w:rsidDel="00000000" w:rsidR="00000000" w:rsidRPr="00000000">
        <w:rPr>
          <w:color w:val="172033"/>
          <w:rtl w:val="0"/>
        </w:rPr>
        <w:t xml:space="preserve">Decidir, para cada delito imputado, se a prescrição já se operou e, portanto, se cabe apresentar minuta de reconhecimento da prescrição antes de o feito ser movimentado.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40" w:before="60" w:lineRule="auto"/>
        <w:rPr/>
      </w:pPr>
      <w:r w:rsidDel="00000000" w:rsidR="00000000" w:rsidRPr="00000000">
        <w:rPr>
          <w:b w:val="1"/>
          <w:bCs w:val="1"/>
          <w:color w:val="172033"/>
          <w:rtl w:val="0"/>
        </w:rPr>
        <w:t xml:space="preserve">Em qual momento a decisão ocorre?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Rule="auto"/>
        <w:ind w:left="259" w:firstLine="0"/>
        <w:rPr/>
      </w:pPr>
      <w:r w:rsidDel="00000000" w:rsidR="00000000" w:rsidRPr="00000000">
        <w:rPr>
          <w:color w:val="172033"/>
          <w:rtl w:val="0"/>
        </w:rPr>
        <w:t xml:space="preserve">Na conferência da petição inicial — primeira etapa do fluxo do PJe, antes da citação das partes. Se o feito já prescreveu, todo o restante da fila é trabalho que não deveria existir.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40" w:before="60" w:lineRule="auto"/>
        <w:rPr/>
      </w:pPr>
      <w:r w:rsidDel="00000000" w:rsidR="00000000" w:rsidRPr="00000000">
        <w:rPr>
          <w:b w:val="1"/>
          <w:bCs w:val="1"/>
          <w:color w:val="172033"/>
          <w:rtl w:val="0"/>
        </w:rPr>
        <w:t xml:space="preserve">Qual é a unidade de análise?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ind w:left="259" w:firstLine="0"/>
        <w:rPr/>
      </w:pPr>
      <w:r w:rsidDel="00000000" w:rsidR="00000000" w:rsidRPr="00000000">
        <w:rPr>
          <w:color w:val="172033"/>
          <w:rtl w:val="0"/>
        </w:rPr>
        <w:t xml:space="preserve">Um delito imputado — não o processo. Um processo com vários delitos exige uma análise e uma minuta por delito; o arquivamento do feito só é possível se TODOS os delitos estiverem prescritos, e um único delito não prescrito mantém o processo em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40" w:before="60" w:lineRule="auto"/>
        <w:rPr/>
      </w:pPr>
      <w:r w:rsidDel="00000000" w:rsidR="00000000" w:rsidRPr="00000000">
        <w:rPr>
          <w:b w:val="1"/>
          <w:bCs w:val="1"/>
          <w:color w:val="172033"/>
          <w:rtl w:val="0"/>
        </w:rPr>
        <w:t xml:space="preserve">Qual output deverá ser produzido?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lineRule="auto"/>
        <w:ind w:left="259" w:firstLine="0"/>
        <w:rPr/>
      </w:pPr>
      <w:r w:rsidDel="00000000" w:rsidR="00000000" w:rsidRPr="00000000">
        <w:rPr>
          <w:color w:val="172033"/>
          <w:rtl w:val="0"/>
        </w:rPr>
        <w:t xml:space="preserve">Por delito: a conclusão PRESCRITO, NÃO PRESCRITO ou INSUFICIENTE, com o artigo aplicado, os marcos interruptivos e causas suspensivas considerados e a data exata do implemento da prescrição; e a minuta correspondente, com a fundamentação por delito. Faltando dado nos autos, o sistema declara INSUFICIENTE e não conclui — nunca estima.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40" w:before="60" w:lineRule="auto"/>
        <w:rPr/>
      </w:pPr>
      <w:r w:rsidDel="00000000" w:rsidR="00000000" w:rsidRPr="00000000">
        <w:rPr>
          <w:b w:val="1"/>
          <w:bCs w:val="1"/>
          <w:color w:val="172033"/>
          <w:rtl w:val="0"/>
        </w:rPr>
        <w:t xml:space="preserve">Qual ação humana ou operacional será realizada?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lineRule="auto"/>
        <w:ind w:left="259" w:firstLine="0"/>
        <w:rPr/>
      </w:pPr>
      <w:r w:rsidDel="00000000" w:rsidR="00000000" w:rsidRPr="00000000">
        <w:rPr>
          <w:color w:val="172033"/>
          <w:rtl w:val="0"/>
        </w:rPr>
        <w:t xml:space="preserve">O analista judiciário confere a minuta e decide: ACEITAR — e a minuta passa a ser peça processual — ou REJEITAR — e o processo segue o fluxo normal de tramitação. A decisão permanece humana; o agente redige, o analista assume.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40" w:before="60" w:lineRule="auto"/>
        <w:rPr>
          <w:b w:val="1"/>
          <w:bCs w:val="1"/>
          <w:color w:val="172033"/>
          <w:highlight w:val="yellow"/>
        </w:rPr>
      </w:pPr>
      <w:r w:rsidDel="00000000" w:rsidR="00000000" w:rsidRPr="00000000">
        <w:rPr>
          <w:b w:val="1"/>
          <w:bCs w:val="1"/>
          <w:color w:val="172033"/>
          <w:rtl w:val="0"/>
        </w:rPr>
        <w:t xml:space="preserve">Qual resultado organizacional é esperado?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40" w:before="60" w:lineRule="auto"/>
        <w:rPr/>
      </w:pPr>
      <w:r w:rsidDel="00000000" w:rsidR="00000000" w:rsidRPr="00000000">
        <w:rPr>
          <w:color w:val="172033"/>
          <w:rtl w:val="0"/>
        </w:rPr>
        <w:t xml:space="preserve">Reconhecer a prescrição no início do fluxo, e não depois da instrução, evitando tramitação sobre feitos já prescritos e liberando capacidade de servidor da vara criminal, da defesa e das demais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2. Stakeholders, escopo e responsabilidades</w:t>
      </w:r>
    </w:p>
    <w:tbl>
      <w:tblPr>
        <w:tblStyle w:val="Table3"/>
        <w:tblW w:w="9360.0" w:type="dxa"/>
        <w:jc w:val="left"/>
        <w:tblInd w:w="11.999999999999993" w:type="dxa"/>
        <w:tblLayout w:type="fixed"/>
        <w:tblLook w:val="0400"/>
      </w:tblPr>
      <w:tblGrid>
        <w:gridCol w:w="2600"/>
        <w:gridCol w:w="4059"/>
        <w:gridCol w:w="2701"/>
        <w:tblGridChange w:id="0">
          <w:tblGrid>
            <w:gridCol w:w="2600"/>
            <w:gridCol w:w="4059"/>
            <w:gridCol w:w="2701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Papel ou 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Responsabilidade / 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Magistrado da vara criminal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Patrocinador e solicitante. Priorizou a competência atendida (criminal), redigiu a versão de origem do mapa do fluxo de prescrição e selecionou o lote de homologação.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Confirmado no papel; nome 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Analista judiciário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Usuário final. Opera a conferência da minuta e decide pelo aceite ou pela recusa; é quem sabe o que torna uma minuta inútil na prática.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 confirmar — validação do esboço da minuta ainda 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Servidor da vara criminal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Especialista de domínio. Fonte das regras de contagem, dos marcos interruptivos e das causas suspensivas; executa hoje a análise manual que serve de baseline.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Consultado no projeto; nome a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Especialista em PJe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Especialista de sistema. Mapeou a sequência de tarefas da tramitação e permitiu decidir em que etapa a análise pode ser executada — requisito que o pedido original não continha.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Consultado no projeto; nome a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Escopo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1.999999999999993" w:type="dxa"/>
        <w:tblLayout w:type="fixed"/>
        <w:tblLook w:val="0400"/>
      </w:tblPr>
      <w:tblGrid>
        <w:gridCol w:w="1900"/>
        <w:gridCol w:w="7460"/>
        <w:tblGridChange w:id="0">
          <w:tblGrid>
            <w:gridCol w:w="1900"/>
            <w:gridCol w:w="746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Vara criminal; análise de prescrição por delito imputado a partir dos autos; execução na conferência da petição inicial; geração de minuta fundamentada por delito; interface de conferência com aceite ou recusa pelo analista judiciário; lote de cinquenta processos identificados por NPU (Resolução CNJ nº 65/2008) como conjunto de homologação.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Arquivamento automático do feito — a minuta nunca arquiva sozinha, o aceite humano é controle obrigatório; juízo de mérito da ação penal; demais competências (cível, família, fazenda pública, juizados especiais), cada uma com legislação e fluxo de prescrição próprios; estimativa de dado ausente nos autos.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Acesso ao acervo do PJe, credenciais e limites de acesso, a cargo da equipe de TI do tribunal; glossário de domínio e mapa do fluxo de prescrição versionados e revisados por especialista de domínio; manifestação da Corregedoria / conformidade sobre o que pode ser automatizado; disponibilidade e rotulagem do lote de cinquenta processos selecionado pelo magistrado. Equipe de TI e Corregedoria foram identificadas como partes interessadas no levantamento, mas ainda não têm interlocutor formalizado.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3. Target, erros e baseline </w:t>
      </w:r>
    </w:p>
    <w:tbl>
      <w:tblPr>
        <w:tblStyle w:val="Table5"/>
        <w:tblW w:w="9360.0" w:type="dxa"/>
        <w:jc w:val="left"/>
        <w:tblInd w:w="11.999999999999993" w:type="dxa"/>
        <w:tblLayout w:type="fixed"/>
        <w:tblLook w:val="0400"/>
      </w:tblPr>
      <w:tblGrid>
        <w:gridCol w:w="2199"/>
        <w:gridCol w:w="7161"/>
        <w:tblGridChange w:id="0">
          <w:tblGrid>
            <w:gridCol w:w="2199"/>
            <w:gridCol w:w="7161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Target proposto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delito_prescrito: por delito imputado, PRESCRITO, NÃO PRESCRITO ou INSUFICIENTE, com a data de implemento quando prescrito. O resultado do processo é derivado, não observado: o feito só é arquivável se todos os seus delitos forem PRESCRITO. Rótulo de referência a obter da análise do servidor da vara criminal sobre o lote de cinquenta processos.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Falso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Minuta que declara prescrito um delito que não prescreveu. Se o analista aceitar, produz-se peça processual com fundamentação errada, com risco de extinguir indevidamente a punibilidade; se rejeitar, consome tempo de conferência. É o erro mais caro, contido apenas pelo aceite humano.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Falso 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Delito genuinamente prescrito que não é sinalizado na conferência. O feito segue para citação, instrução, alegações finais e sentença, consumindo todo o fluxo de trabalho a jusante antes de a prescrição ser reconhecida — exatamente o desperdício que o projeto existe para evitar.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Baseline não-ML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 análise manual que o servidor da vara criminal faz hoje, delito a delito, é a referência de qualidade e de custo — e não uma alternativa hipotética. Candidato a baseline automatizado: regra determinística sobre a pena máxima em abstrato pelo art. 109 do Código Penal, sem tratamento de marcos interruptivos e causas suspensivas. Os dois devem ser medidos sobre o mesmo lote de cinquenta processos.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4. Critérios de sucesso e restrições </w:t>
      </w:r>
    </w:p>
    <w:tbl>
      <w:tblPr>
        <w:tblStyle w:val="Table6"/>
        <w:tblW w:w="9360.0" w:type="dxa"/>
        <w:jc w:val="left"/>
        <w:tblInd w:w="11.999999999999993" w:type="dxa"/>
        <w:tblLayout w:type="fixed"/>
        <w:tblLook w:val="0400"/>
      </w:tblPr>
      <w:tblGrid>
        <w:gridCol w:w="1599"/>
        <w:gridCol w:w="4500"/>
        <w:gridCol w:w="3261"/>
        <w:tblGridChange w:id="0">
          <w:tblGrid>
            <w:gridCol w:w="1599"/>
            <w:gridCol w:w="4500"/>
            <w:gridCol w:w="3261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Indicador / pendência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Reconhecer a prescrição na conferência da petição inicial, antes de qualquer movimentação do feito, mantendo a decisão com quem responde por ela.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Proporção de feitos prescritos reconhecidos ainda na conferência, e não após a instrução. Métrica e limiar a definir quantitativamente com o TJPE.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Entregar a minuta no momento e no formato da conferência da petição inicial, com fundamentação por delito suficiente para o analista aceitar ou rejeitar.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Taxa de aceite da minuta pelo analista e tempo de conferência por delito. Volume diário de petições iniciais na vara e SLA a definir com o TJPE.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Dados /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Igualar a análise manual do servidor no lote de cinquenta processos e superar o baseline determinístico, declarando INSUFICIENTE em vez de estimar dado ausente.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Métricas por classe (PRESCRITO, NÃO PRESCRITO, INSUFICIENTE) e limiares a definir após o Entendimento dos Dados; tolerância a falso positivo a aprovar com o magistrado.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Econômico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Justificar o custo de operação frente ao trabalho de tramitação evitado em feitos já prescritos.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Custo por processo analisado contra horas de servidor economizadas. Método de mensuração a definir.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Riscos e restrições iniciais </w:t>
      </w:r>
    </w:p>
    <w:tbl>
      <w:tblPr>
        <w:tblStyle w:val="Table7"/>
        <w:tblW w:w="9360.0" w:type="dxa"/>
        <w:jc w:val="left"/>
        <w:tblInd w:w="11.999999999999993" w:type="dxa"/>
        <w:tblLayout w:type="fixed"/>
        <w:tblLook w:val="0400"/>
      </w:tblPr>
      <w:tblGrid>
        <w:gridCol w:w="1900"/>
        <w:gridCol w:w="3999"/>
        <w:gridCol w:w="3461"/>
        <w:tblGridChange w:id="0">
          <w:tblGrid>
            <w:gridCol w:w="1900"/>
            <w:gridCol w:w="3999"/>
            <w:gridCol w:w="3461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Tratamento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Alucinação em dado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Data, número de artigo e prazo são exatamente o tipo de fato que o modelo reconstrói por interpolação, e o erro chega com a mesma fluência do acerto.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Exigir no mapa do fluxo de prescrição a declaração INSUFICIENTE quando faltar dado nos autos, proibindo estimativa; obrigar a citação do artigo e da data que fundamentam cada conclusão; conferência humana antes de qualquer efeito processual.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Unidade de análise 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Tratar o processo, e não o delito, como unidade produz conclusão única para feitos com delitos de prazos distintos e pode levar ao arquivamento de processo com delito ainda não prescrito. É o erro embutido no enunciado original do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Fixar o delito como unidade no mapa do fluxo de prescrição, na interface e no plano de teste; incluir no lote de homologação casos de resultado PARCIAL (vários delitos, nem todos prescritos).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Injeção de prompt e exposição de dado pessoal pelos autos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Os autos são, ao mesmo tempo, entrada não confiável — contêm petições e documentos redigidos por terceiros que entram no contexto do agente — e dado sensível: nome, CPF, endereço e, em parte dos feitos, segredo de justiça.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Tratar o conteúdo dos autos como dado, nunca como instrução, e delimitar o papel do agente no prompt; decidir onde o modelo é executado e sob que contrato à luz da LGPD (Lei 13.709/2018), com a equipe de TI e a Corregedoria, antes da homologação.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Agência excessiva e desvio de 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Uso da conclusão do agente como decisão de arquivamento sem aceite humano, ou extensão do uso a outra competência sem novo mapeamento de legislação e de fluxo.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Manter o aceite do analista judiciário como controle obrigatório — a minuta não arquiva sozinha — e restringir explicitamente o uso à vara criminal e à conferência da petição inicial, registrando a restrição no steering do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5. Project Charter v0 </w:t>
      </w:r>
    </w:p>
    <w:tbl>
      <w:tblPr>
        <w:tblStyle w:val="Table8"/>
        <w:tblW w:w="9360.0" w:type="dxa"/>
        <w:jc w:val="left"/>
        <w:tblInd w:w="11.999999999999993" w:type="dxa"/>
        <w:tblLayout w:type="fixed"/>
        <w:tblLook w:val="0400"/>
      </w:tblPr>
      <w:tblGrid>
        <w:gridCol w:w="2299"/>
        <w:gridCol w:w="7061"/>
        <w:tblGridChange w:id="0">
          <w:tblGrid>
            <w:gridCol w:w="2299"/>
            <w:gridCol w:w="7061"/>
          </w:tblGrid>
        </w:tblGridChange>
      </w:tblGrid>
      <w:tr>
        <w:trPr>
          <w:cantSplit w:val="0"/>
          <w:tblHeader w:val="1"/>
        </w:trPr>
        <w:tc>
          <w:tcPr>
            <w:shd w:fill="fff0e6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6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Feitos criminais já prescritos percorrem toda a tramitação antes de a prescrição ser reconhecida; a verificação manual, delito a delito, tem capacidade limitada.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Se cabe minuta de reconhecimento da prescrição para cada delito imputado, antes de o feito ser movimentado.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Conferência da petição inicial, antes da citação das partes.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Unidade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Um delito imputado — não o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Target proposto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delito_prescrito: PRESCRITO, NÃO PRESCRITO ou INSUFICIENTE, com a data de implemento.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O analista judiciário aceita a minuta — que passa a ser peça processual — ou a rejeita, e o processo segue o fluxo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Evitar tramitação sobre feitos prescritos e liberar capacidade da vara criminal.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Fora do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Arquivamento automático: a minuta nunca arquiva sozinha; o aceite humano do analista é obrigatório. Também fora do escopo: demais competências, juízo de mérito e estimativa de dado ausente nos autos.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Critérios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 definir e aprovar antes do gate — nenhum limiar quantitativo foi acordado com o TJPE.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Gate da fase </w:t>
      </w:r>
    </w:p>
    <w:tbl>
      <w:tblPr>
        <w:tblStyle w:val="Table9"/>
        <w:tblW w:w="9360.0" w:type="dxa"/>
        <w:jc w:val="left"/>
        <w:tblInd w:w="11.999999999999993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0e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e87531"/>
                <w:rtl w:val="0"/>
              </w:rPr>
              <w:t xml:space="preserve">Pergunta de decisão: </w:t>
            </w:r>
            <w:r w:rsidDel="00000000" w:rsidR="00000000" w:rsidRPr="00000000">
              <w:rPr>
                <w:color w:val="000000"/>
                <w:rtl w:val="0"/>
              </w:rPr>
              <w:t xml:space="preserve">O problema de decisão está claro e é valioso o suficiente para justificar o Entendimento dos Dados?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1.999999999999993" w:type="dxa"/>
        <w:tblLayout w:type="fixed"/>
        <w:tblLook w:val="0400"/>
      </w:tblPr>
      <w:tblGrid>
        <w:gridCol w:w="500"/>
        <w:gridCol w:w="3551"/>
        <w:gridCol w:w="1499"/>
        <w:gridCol w:w="3810"/>
        <w:tblGridChange w:id="0">
          <w:tblGrid>
            <w:gridCol w:w="500"/>
            <w:gridCol w:w="3551"/>
            <w:gridCol w:w="1499"/>
            <w:gridCol w:w="381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Evidência ou pendência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Problema e valor organizacional 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Problema descrito a partir do caso: feito prescrito consome citação, instrução e sentença antes do reconhecimento.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Decisão, momento e ação 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Execução na conferência da petição inicial, definida com o especialista em PJe; ação humana de aceite ou recusa da minuta pelo analista judiciário.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Unidade de análise e target propostos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Unidade fixada no delito; target por delito com três resultados, incluindo INSUFICIENTE.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Critérios de sucesso mensuráveis aprovados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Nenhum limiar quantitativo definido; tolerância a falso positivo não acordada com o magistrado.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Responsáveis e aprovador identificados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Papéis mapeados, nomes não informados; equipe de TI e Corregedoria ainda sem interlocutor formalizado.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Escopo, restrições e riscos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Vara criminal priorizada pelo magistrado; restrições de uso, riscos de LGPD e de governança registrados.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Decisão do gate</w:t>
      </w:r>
    </w:p>
    <w:tbl>
      <w:tblPr>
        <w:tblStyle w:val="Table11"/>
        <w:tblW w:w="9360.0" w:type="dxa"/>
        <w:jc w:val="left"/>
        <w:tblInd w:w="11.999999999999993" w:type="dxa"/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Prosseguir condicionalmente para o Entendimento dos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Condições ou retrabalho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Antes da aprovação final do Charter: (i) definir com o magistrado os critérios quantitativos de sucesso e a tolerância a falso positivo; (ii) nomear responsáveis e aprovador; (iii) obter posição da Corregedoria e da equipe de TI sobre execução do modelo e acesso ao acervo do PJe; (iv) confirmar a composição e a rotulagem de referência do lote de cinquenta processos.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Aprovador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 definir pela organização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172033"/>
                <w:rtl w:val="0"/>
              </w:rPr>
              <w:t xml:space="preserve">Data da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172033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Fontes e rastreabilidade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color w:val="5f6b7a"/>
          <w:sz w:val="19"/>
          <w:szCs w:val="19"/>
          <w:rtl w:val="0"/>
        </w:rPr>
        <w:t xml:space="preserve">Registrar documentos, entrevistas, decisões e fontes utilizados no preenchimento.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1080" w:left="1440" w:right="144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7"/>
        <w:szCs w:val="17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7"/>
        <w:szCs w:val="17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f6b7a"/>
        <w:sz w:val="17"/>
        <w:szCs w:val="17"/>
        <w:u w:val="none"/>
        <w:shd w:fill="auto" w:val="clear"/>
        <w:vertAlign w:val="baseline"/>
        <w:rtl w:val="0"/>
      </w:rPr>
      <w:t xml:space="preserve">PACOTE DE MODELOS CRISP | MLOps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f6b7a"/>
        <w:sz w:val="17"/>
        <w:szCs w:val="17"/>
        <w:u w:val="none"/>
        <w:shd w:fill="auto" w:val="clear"/>
        <w:vertAlign w:val="baseline"/>
        <w:rtl w:val="0"/>
      </w:rPr>
      <w:t xml:space="preserve">PACOTE DE MODELOS CRISP | MLOps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CabealhoChar" w:customStyle="1">
    <w:name w:val="Cabeçalho Char"/>
    <w:basedOn w:val="Fontepargpadro"/>
    <w:link w:val="Cabealho"/>
    <w:uiPriority w:val="99"/>
    <w:qFormat w:val="1"/>
    <w:rsid w:val="00E618BF"/>
  </w:style>
  <w:style w:type="character" w:styleId="RodapChar" w:customStyle="1">
    <w:name w:val="Rodapé Char"/>
    <w:basedOn w:val="Fontepargpadro"/>
    <w:link w:val="Rodap"/>
    <w:uiPriority w:val="99"/>
    <w:qFormat w:val="1"/>
    <w:rsid w:val="00E618BF"/>
  </w:style>
  <w:style w:type="character" w:styleId="Ttulo1Char" w:customStyle="1">
    <w:name w:val="Título 1 Char"/>
    <w:basedOn w:val="Fontepargpadro"/>
    <w:link w:val="Ttulo1"/>
    <w:uiPriority w:val="9"/>
    <w:qFormat w:val="1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qFormat w:val="1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qFormat w:val="1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qFormat w:val="1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qFormat w:val="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CorpodetextoChar" w:customStyle="1">
    <w:name w:val="Corpo de texto Char"/>
    <w:basedOn w:val="Fontepargpadro"/>
    <w:link w:val="Corpodetexto"/>
    <w:uiPriority w:val="99"/>
    <w:qFormat w:val="1"/>
    <w:rsid w:val="00AA1D8D"/>
  </w:style>
  <w:style w:type="character" w:styleId="Corpodetexto2Char" w:customStyle="1">
    <w:name w:val="Corpo de texto 2 Char"/>
    <w:basedOn w:val="Fontepargpadro"/>
    <w:link w:val="Corpodetexto2"/>
    <w:uiPriority w:val="99"/>
    <w:qFormat w:val="1"/>
    <w:rsid w:val="00AA1D8D"/>
  </w:style>
  <w:style w:type="character" w:styleId="Corpodetexto3Char" w:customStyle="1">
    <w:name w:val="Corpo de texto 3 Char"/>
    <w:basedOn w:val="Fontepargpadro"/>
    <w:link w:val="Corpodetexto3"/>
    <w:uiPriority w:val="99"/>
    <w:qFormat w:val="1"/>
    <w:rsid w:val="00AA1D8D"/>
    <w:rPr>
      <w:sz w:val="16"/>
      <w:szCs w:val="16"/>
    </w:rPr>
  </w:style>
  <w:style w:type="character" w:styleId="TextodemacroChar" w:customStyle="1">
    <w:name w:val="Texto de macro Char"/>
    <w:basedOn w:val="Fontepargpadro"/>
    <w:link w:val="Textode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Fontepargpadro"/>
    <w:link w:val="Citao"/>
    <w:uiPriority w:val="29"/>
    <w:qFormat w:val="1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qFormat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qFormat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qFormat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qFormat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qFormat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qFormat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character" w:styleId="CitaoIntensaChar" w:customStyle="1">
    <w:name w:val="Citação Intensa Char"/>
    <w:basedOn w:val="Fontepargpadro"/>
    <w:link w:val="CitaoIntensa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orpodetexto">
    <w:name w:val="Body Text"/>
    <w:basedOn w:val="Normal"/>
    <w:link w:val="CorpodetextoChar"/>
    <w:uiPriority w:val="99"/>
    <w:unhideWhenUsed w:val="1"/>
    <w:rsid w:val="00AA1D8D"/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FreeSans"/>
    </w:rPr>
  </w:style>
  <w:style w:type="paragraph" w:styleId="Cabealhoerodap" w:customStyle="1">
    <w:name w:val="Cabeçalho e rodapé"/>
    <w:basedOn w:val="Normal"/>
    <w:qFormat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 w:val="1"/>
    <w:rsid w:val="00FC693F"/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2">
    <w:name w:val="Body Text 2"/>
    <w:basedOn w:val="Normal"/>
    <w:link w:val="Corpodetexto2Char"/>
    <w:uiPriority w:val="99"/>
    <w:unhideWhenUsed w:val="1"/>
    <w:qFormat w:val="1"/>
    <w:rsid w:val="00AA1D8D"/>
    <w:pPr>
      <w:spacing w:line="480" w:lineRule="auto"/>
    </w:pPr>
  </w:style>
  <w:style w:type="paragraph" w:styleId="Corpodetexto3">
    <w:name w:val="Body Text 3"/>
    <w:basedOn w:val="Normal"/>
    <w:link w:val="Corpodetexto3Char"/>
    <w:uiPriority w:val="99"/>
    <w:unhideWhenUsed w:val="1"/>
    <w:qFormat w:val="1"/>
    <w:rsid w:val="00AA1D8D"/>
    <w:rPr>
      <w:sz w:val="16"/>
      <w:szCs w:val="16"/>
    </w:rPr>
  </w:style>
  <w:style w:type="paragraph" w:styleId="Lista2">
    <w:name w:val="List 2"/>
    <w:basedOn w:val="Normal"/>
    <w:uiPriority w:val="99"/>
    <w:unhideWhenUsed w:val="1"/>
    <w:qFormat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qFormat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spacing w:after="80"/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4"/>
      </w:numPr>
      <w:spacing w:after="80"/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qFormat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0000" w:space="0" w:sz="1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f81bd" w:space="0" w:sz="1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0504d" w:space="0" w:sz="1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bbb59" w:space="0" w:sz="1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064a2" w:space="0" w:sz="1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bacc6" w:space="0" w:sz="1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79646" w:space="0" w:sz="1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f81bd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c0504d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bbb59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064a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bacc6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f79646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9dgTcDOUcwhsZNtq7kNSCJP+Hw==">CgMxLjA4AHIhMVNMNGh4NGZiMU1sTTNfVVFEc3VzeXl5UWEzVHdLRG9I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