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legibilidade do recorte, estimada pela variância do operador de Laplace (abaixo de 25, indicativo de display borrado);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(dois identificadores numéricos de dez dígitos);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foram testadas com um script interno de avaliação sobre amostras da base real: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em relação ao grupo NA.</w:t>
      </w:r>
    </w:p>
    <w:p>
      <w:pPr>
        <w:spacing w:after="120" w:line="240" w:lineRule="auto"/>
        <w:jc w:val="both"/>
      </w:pPr>
      <w:r>
        <w:rPr>
          <w:rFonts w:ascii="Times New Roman" w:hAnsi="Times New Roman"/>
          <w:b w:val="0"/>
          <w:i w:val="0"/>
          <w:sz w:val="24"/>
        </w:rPr>
        <w:t>Esta avaliação está em execução no momento da geração deste rascunho; os resultados numéricos serão incorporados na revisão seguinte, a partir do script interno de avaliação.</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em ambiente de CPU (sem aceleração por GPU), a inferência completa do pipeline por fotografia — incluindo, quando necessário, a segunda fase com imagem invertida — levou entre aproximadamente 0,5 e 17 segundos por imagem nas execuções realizadas, o que é adequado a um processamento em lote noturno da fila de validação, mas inviabilizaria, no estado atual, uma resposta em tempo real durante a visita do leiturista.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realizado sobre ocorrências cuja semântica antecipa dificuldade de leitura (Seção 4.3) indica que esses sinais já carregam informação aproveitável antes mesmo de qualquer treino supervisionado, o que reforça a viabilidade do caminho proposto.</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