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nitidez do recorte avaliado, estimada pela variância do operador de Laplace e exposta como valor contínuo (a Seção 4.3 discute por que um limiar fixo herdado de outro domínio não é adequado sem recalibração);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(dois identificadores numéricos de dez dígitos);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foram testadas com um script interno de avaliação sobre amostras da base real: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em relação ao grupo NA.</w:t>
      </w:r>
    </w:p>
    <w:p>
      <w:pPr>
        <w:spacing w:after="120" w:line="240" w:lineRule="auto"/>
        <w:jc w:val="both"/>
      </w:pPr>
      <w:r>
        <w:rPr>
          <w:rFonts w:ascii="Times New Roman" w:hAnsi="Times New Roman"/>
          <w:b w:val="0"/>
          <w:i w:val="0"/>
          <w:sz w:val="24"/>
        </w:rPr>
        <w:t>O resultado (Tabela 3) confirma as duas hipóteses na direção esperada. No grupo NA (n=60), 33,3% das fotografias não tiveram leitura detectada pelo pipeline; no grupo T111 (n=60), essa taxa sobe para 55,0%; e no grupo L101 (n=60), para 76,7%. Ainda que a amostra seja pequena para inferência estatística formal, a direção do efeito é consistente com a semântica das ocorrências: em ambos os grupos cuja nota antecipa dificuldade de leitura, o sinal "leitura não detectada", já emitido pelo pipeline sem qualquer treino supervisionado, aparece com mais frequência do que no grupo de leitura normal. Isso sugere que os sinais da Seção 3.1 carregam informação relevante para a validação de coerência mesmo antes de um classificador dedicado ser treinado — uma baseline de referência barata para comparação futura.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Grupo (nota)</w:t>
            </w:r>
          </w:p>
        </w:tc>
        <w:tc>
          <w:tcPr>
            <w:tcW w:type="dxa" w:w="2268"/>
          </w:tcPr>
          <w:p>
            <w:r>
              <w:rPr>
                <w:rFonts w:ascii="Times New Roman" w:hAnsi="Times New Roman"/>
                <w:b/>
                <w:sz w:val="20"/>
              </w:rPr>
              <w:t>Amostra</w:t>
            </w:r>
          </w:p>
        </w:tc>
        <w:tc>
          <w:tcPr>
            <w:tcW w:type="dxa" w:w="2268"/>
          </w:tcPr>
          <w:p>
            <w:r>
              <w:rPr>
                <w:rFonts w:ascii="Times New Roman" w:hAnsi="Times New Roman"/>
                <w:b/>
                <w:sz w:val="20"/>
              </w:rPr>
              <w:t>% sem leitura detectada</w:t>
            </w:r>
          </w:p>
        </w:tc>
        <w:tc>
          <w:tcPr>
            <w:tcW w:type="dxa" w:w="2268"/>
          </w:tcPr>
          <w:p>
            <w:r>
              <w:rPr>
                <w:rFonts w:ascii="Times New Roman" w:hAnsi="Times New Roman"/>
                <w:b/>
                <w:sz w:val="20"/>
              </w:rPr>
              <w:t>% ilegível (Laplaciano)</w:t>
            </w:r>
          </w:p>
        </w:tc>
      </w:tr>
      <w:tr>
        <w:tc>
          <w:tcPr>
            <w:tcW w:type="dxa" w:w="2268"/>
          </w:tcPr>
          <w:p>
            <w:r>
              <w:rPr>
                <w:rFonts w:ascii="Times New Roman" w:hAnsi="Times New Roman"/>
                <w:sz w:val="20"/>
              </w:rPr>
              <w:t>NA (baseline)</w:t>
            </w:r>
          </w:p>
        </w:tc>
        <w:tc>
          <w:tcPr>
            <w:tcW w:type="dxa" w:w="2268"/>
          </w:tcPr>
          <w:p>
            <w:r>
              <w:rPr>
                <w:rFonts w:ascii="Times New Roman" w:hAnsi="Times New Roman"/>
                <w:sz w:val="20"/>
              </w:rPr>
              <w:t>60</w:t>
            </w:r>
          </w:p>
        </w:tc>
        <w:tc>
          <w:tcPr>
            <w:tcW w:type="dxa" w:w="2268"/>
          </w:tcPr>
          <w:p>
            <w:r>
              <w:rPr>
                <w:rFonts w:ascii="Times New Roman" w:hAnsi="Times New Roman"/>
                <w:sz w:val="20"/>
              </w:rPr>
              <w:t>33,3%</w:t>
            </w:r>
          </w:p>
        </w:tc>
        <w:tc>
          <w:tcPr>
            <w:tcW w:type="dxa" w:w="2268"/>
          </w:tcPr>
          <w:p>
            <w:r>
              <w:rPr>
                <w:rFonts w:ascii="Times New Roman" w:hAnsi="Times New Roman"/>
                <w:sz w:val="20"/>
              </w:rPr>
              <w:t>10,0%</w:t>
            </w:r>
          </w:p>
        </w:tc>
      </w:tr>
      <w:tr>
        <w:tc>
          <w:tcPr>
            <w:tcW w:type="dxa" w:w="2268"/>
          </w:tcPr>
          <w:p>
            <w:r>
              <w:rPr>
                <w:rFonts w:ascii="Times New Roman" w:hAnsi="Times New Roman"/>
                <w:sz w:val="20"/>
              </w:rPr>
              <w:t>T111 (caixa obstruída)</w:t>
            </w:r>
          </w:p>
        </w:tc>
        <w:tc>
          <w:tcPr>
            <w:tcW w:type="dxa" w:w="2268"/>
          </w:tcPr>
          <w:p>
            <w:r>
              <w:rPr>
                <w:rFonts w:ascii="Times New Roman" w:hAnsi="Times New Roman"/>
                <w:sz w:val="20"/>
              </w:rPr>
              <w:t>60</w:t>
            </w:r>
          </w:p>
        </w:tc>
        <w:tc>
          <w:tcPr>
            <w:tcW w:type="dxa" w:w="2268"/>
          </w:tcPr>
          <w:p>
            <w:r>
              <w:rPr>
                <w:rFonts w:ascii="Times New Roman" w:hAnsi="Times New Roman"/>
                <w:sz w:val="20"/>
              </w:rPr>
              <w:t>55,0%</w:t>
            </w:r>
          </w:p>
        </w:tc>
        <w:tc>
          <w:tcPr>
            <w:tcW w:type="dxa" w:w="2268"/>
          </w:tcPr>
          <w:p>
            <w:r>
              <w:rPr>
                <w:rFonts w:ascii="Times New Roman" w:hAnsi="Times New Roman"/>
                <w:sz w:val="20"/>
              </w:rPr>
              <w:t>20,0%</w:t>
            </w:r>
          </w:p>
        </w:tc>
      </w:tr>
      <w:tr>
        <w:tc>
          <w:tcPr>
            <w:tcW w:type="dxa" w:w="2268"/>
          </w:tcPr>
          <w:p>
            <w:r>
              <w:rPr>
                <w:rFonts w:ascii="Times New Roman" w:hAnsi="Times New Roman"/>
                <w:sz w:val="20"/>
              </w:rPr>
              <w:t>L101 (leitura via cliente)</w:t>
            </w:r>
          </w:p>
        </w:tc>
        <w:tc>
          <w:tcPr>
            <w:tcW w:type="dxa" w:w="2268"/>
          </w:tcPr>
          <w:p>
            <w:r>
              <w:rPr>
                <w:rFonts w:ascii="Times New Roman" w:hAnsi="Times New Roman"/>
                <w:sz w:val="20"/>
              </w:rPr>
              <w:t>60</w:t>
            </w:r>
          </w:p>
        </w:tc>
        <w:tc>
          <w:tcPr>
            <w:tcW w:type="dxa" w:w="2268"/>
          </w:tcPr>
          <w:p>
            <w:r>
              <w:rPr>
                <w:rFonts w:ascii="Times New Roman" w:hAnsi="Times New Roman"/>
                <w:sz w:val="20"/>
              </w:rPr>
              <w:t>76,7%</w:t>
            </w:r>
          </w:p>
        </w:tc>
        <w:tc>
          <w:tcPr>
            <w:tcW w:type="dxa" w:w="2268"/>
          </w:tcPr>
          <w:p>
            <w:r>
              <w:rPr>
                <w:rFonts w:ascii="Times New Roman" w:hAnsi="Times New Roman"/>
                <w:sz w:val="20"/>
              </w:rPr>
              <w:t>1,7%</w:t>
            </w:r>
          </w:p>
        </w:tc>
      </w:tr>
    </w:tbl>
    <w:p>
      <w:pPr>
        <w:spacing w:after="120" w:line="240" w:lineRule="auto"/>
        <w:ind w:firstLine="0"/>
        <w:jc w:val="center"/>
      </w:pPr>
      <w:r>
        <w:rPr>
          <w:rFonts w:ascii="Times New Roman" w:hAnsi="Times New Roman"/>
          <w:b w:val="0"/>
          <w:i w:val="0"/>
          <w:sz w:val="20"/>
        </w:rPr>
        <w:t>Tabela 3 – Sinais de coerência por grupo de ocorrência (amostra real, sem treino supervisionado).</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coluna de ilegibilidade da Tabela 3 só é confiável a partir de uma correção de cobertura feita durante esta avaliação: na primeira execução, a checagem de nitidez (variância do Laplaciano, Seção 3.1) só era aplicada quando uma leitura já havia sido localizada, deixando os casos sem leitura — a maioria da amostra — sem qualquer avaliação, o que produzia uma taxa de ilegibilidade artificialmente nula em todos os grupos. Corrigiu-se o pipeline para aplicar a checagem também nesses casos, usando como substituto a maior caixa detectada na cena, e para expor o valor contínuo da variância como telemetria, em vez de apenas um booleano preso a um limiar fixo.</w:t>
      </w:r>
    </w:p>
    <w:p>
      <w:pPr>
        <w:spacing w:after="120" w:line="240" w:lineRule="auto"/>
        <w:jc w:val="both"/>
      </w:pPr>
      <w:r>
        <w:rPr>
          <w:rFonts w:ascii="Times New Roman" w:hAnsi="Times New Roman"/>
          <w:b w:val="0"/>
          <w:i w:val="0"/>
          <w:sz w:val="24"/>
        </w:rPr>
        <w:t>Com a correção, a ilegibilidade deixa de ser um sinal morto e passa a divergir entre os grupos de forma semanticamente coerente, embora não na mesma direção da taxa de "leitura não detectada": o grupo T111 (obstrução relatada na caixa de medição) apresenta a maior taxa de ilegibilidade (20,0%, contra 10,0% no grupo NA), consistente com sua semântica de problema óptico na cena. Já o grupo L101 (leitura informada pelo cliente), apesar de ter a maior taxa de leitura não detectada (76,7%), apresenta a *menor* taxa de ilegibilidade (1,7%) dos três grupos — suas fotografias tendem a ser nítidas, apenas sem um display legível na cena. Essa divergência sugere dois mecanismos de falha distintos: T111 aponta para um problema de qualidade da imagem (borrão, obstrução física), enquanto L101 aponta para um problema de ausência de alvo (medidor não fotografado de frente, inacessível, ou substituído por informação verbal do cliente) que uma métrica de nitidez pura não captura. Um classificador de coerência completo precisará dos dois sinais separadamente, não de um único indicador combinado.</w:t>
      </w:r>
    </w:p>
    <w:p>
      <w:pPr>
        <w:spacing w:after="120" w:line="240" w:lineRule="auto"/>
        <w:jc w:val="both"/>
      </w:pPr>
      <w:r>
        <w:rPr>
          <w:rFonts w:ascii="Times New Roman" w:hAnsi="Times New Roman"/>
          <w:b w:val="0"/>
          <w:i w:val="0"/>
          <w:sz w:val="24"/>
        </w:rPr>
        <w:t>Os valores absolutos de nitidez também confirmam a suspeita de descalibração: no grupo NA, os percentis 10, 50 e 90 da variância do Laplaciano foram, respectivamente, 20,1, 551,8 e 3534,1 — o limiar herdado (25) fica abaixo até do percentil 10 na maioria dos grupos, o que explica por que ele quase nunca dispara mesmo após a correção de cobertura: foi calibrado para recortes pequenos e centrados de display, não para fotografias de campo em resolução plena. Optou-se por não substituir esse limiar por outro valor arbitrário — uma recalibração defensável exige rótulo de referência (foto de fato considerada insuficiente pelo analista), que só existirá quando o rótulo de aceite/rejeição da Seção 3.2 estiver disponível. Até lá, o pipeline expõe o valor contínuo de nitidez para uso futuro em vez de um sinal binário mal calibrado.</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em ambiente de CPU (sem aceleração por GPU), a inferência completa do pipeline por fotografia — incluindo, quando necessário, a segunda fase com imagem invertida — levou entre aproximadamente 0,5 e 17 segundos por imagem nas execuções realizadas, o que é adequado a um processamento em lote noturno da fila de validação, mas inviabilizaria, no estado atual, uma resposta em tempo real durante a visita do leiturista.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realizado sobre ocorrências cuja semântica antecipa dificuldade de leitura (Seção 4.3) indica que esses sinais já carregam informação aproveitável antes mesmo de qualquer treino supervisionado, o que reforça a viabilidade do caminho proposto.</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