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60664e3f41847e13470828e91598a755795c8e"/>
    <w:p>
      <w:pPr>
        <w:pStyle w:val="Heading1"/>
      </w:pPr>
      <w:r>
        <w:t xml:space="preserve">Pivô MAPEN: assinatura de sensores IoT + aconselhamento energético — doc de planejamento (2026-10-01)</w:t>
      </w:r>
    </w:p>
    <w:p>
      <w:pPr>
        <w:pStyle w:val="BlockText"/>
      </w:pPr>
      <w:r>
        <w:t xml:space="preserve">Para a Natália e o professor. Este documento é de</w:t>
      </w:r>
      <w:r>
        <w:t xml:space="preserve"> </w:t>
      </w:r>
      <w:r>
        <w:rPr>
          <w:b/>
          <w:bCs/>
        </w:rPr>
        <w:t xml:space="preserve">escopo e prioridade</w:t>
      </w:r>
      <w:r>
        <w:t xml:space="preserve">, não um plano de execução fixo. As decisões de produto abaixo já foram tomadas na conversa de 2026-09-30/10-01; o que sobra é o sim/não/quando e as perguntas abertas (seção 8). Contexto e justificativa em</w:t>
      </w:r>
      <w:r>
        <w:t xml:space="preserve"> </w:t>
      </w:r>
      <w:r>
        <w:rPr>
          <w:rStyle w:val="VerbatimChar"/>
        </w:rPr>
        <w:t xml:space="preserve">docs/designs/mapen-assinatura-iot-tomadas.md</w:t>
      </w:r>
      <w:r>
        <w:t xml:space="preserve"> </w:t>
      </w:r>
      <w:r>
        <w:t xml:space="preserve">(v3, commit</w:t>
      </w:r>
      <w:r>
        <w:t xml:space="preserve"> </w:t>
      </w:r>
      <w:r>
        <w:rPr>
          <w:rStyle w:val="VerbatimChar"/>
        </w:rPr>
        <w:t xml:space="preserve">1120d19</w:t>
      </w:r>
      <w:r>
        <w:t xml:space="preserve">).</w:t>
      </w:r>
    </w:p>
    <w:bookmarkStart w:id="9" w:name="o-que-é"/>
    <w:p>
      <w:pPr>
        <w:pStyle w:val="Heading2"/>
      </w:pPr>
      <w:r>
        <w:t xml:space="preserve">1. O que é</w:t>
      </w:r>
    </w:p>
    <w:p>
      <w:pPr>
        <w:pStyle w:val="FirstParagraph"/>
      </w:pPr>
      <w:r>
        <w:t xml:space="preserve">Uma assinatura mensal para empresas (PJ) que combina dois ingredientes: aconselhamento energético contínuo (quando usar energia, quanto custa cada horário, quais equipamentos mais pesam na conta) e uma família de sensores IoT (tomada inteligente para o que cabe nela, medidor de quadro para cargas grandes) que registra consumo com data e hora e permite desligar ou agendar equipamentos à distância. O cliente paga pelo serviço contínuo, não pelo hardware. Mais adiante, os mesmos registros podem servir de prova de queda de energia e dano a aparelhos num pedido de ressarcimento à distribuidora.</w:t>
      </w:r>
    </w:p>
    <w:bookmarkEnd w:id="9"/>
    <w:bookmarkStart w:id="10" w:name="quem-faz-o-quê"/>
    <w:p>
      <w:pPr>
        <w:pStyle w:val="Heading2"/>
      </w:pPr>
      <w:r>
        <w:t xml:space="preserve">2. Quem faz o quê</w:t>
      </w:r>
    </w:p>
    <w:p>
      <w:pPr>
        <w:pStyle w:val="FirstParagraph"/>
      </w:pPr>
      <w:r>
        <w:t xml:space="preserve">Donos</w:t>
      </w:r>
      <w:r>
        <w:t xml:space="preserve"> </w:t>
      </w:r>
      <w:r>
        <w:rPr>
          <w:b/>
          <w:bCs/>
        </w:rPr>
        <w:t xml:space="preserve">em aberto</w:t>
      </w:r>
      <w:r>
        <w:t xml:space="preserve"> </w:t>
      </w:r>
      <w:r>
        <w:t xml:space="preserve">por decisão do grupo. Cada frente da seção 4 tem o campo</w:t>
      </w:r>
      <w:r>
        <w:t xml:space="preserve"> </w:t>
      </w:r>
      <w:r>
        <w:t xml:space="preserve">“dono: a definir”</w:t>
      </w:r>
      <w:r>
        <w:t xml:space="preserve">.</w:t>
      </w:r>
    </w:p>
    <w:bookmarkEnd w:id="10"/>
    <w:bookmarkStart w:id="11" w:name="onde-aparece-para-o-usuário-final"/>
    <w:p>
      <w:pPr>
        <w:pStyle w:val="Heading2"/>
      </w:pPr>
      <w:r>
        <w:t xml:space="preserve">3. Onde aparece para o usuário final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web</w:t>
      </w:r>
      <w:r>
        <w:t xml:space="preserve"> </w:t>
      </w:r>
      <w:r>
        <w:t xml:space="preserve">próprio: consumo por equipamento, custo por horário de tarifa, ranking de equipamentos, alertas, cadastro de sensores e regras de desligamento.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Relatório mensal</w:t>
      </w:r>
      <w:r>
        <w:t xml:space="preserve"> </w:t>
      </w:r>
      <w:r>
        <w:t xml:space="preserve">ao cliente: economia observada e recomendações.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Alertas</w:t>
      </w:r>
      <w:r>
        <w:t xml:space="preserve"> </w:t>
      </w:r>
      <w:r>
        <w:t xml:space="preserve">de anomalia com explicação.</w:t>
      </w:r>
    </w:p>
    <w:p>
      <w:pPr>
        <w:pStyle w:val="Compact"/>
        <w:numPr>
          <w:ilvl w:val="0"/>
          <w:numId w:val="1001"/>
        </w:numPr>
      </w:pPr>
      <w:r>
        <w:t xml:space="preserve">Fase posterior: relatório de evento elétrico (queda, subtensão, sobretensão) para ressarcimento.</w:t>
      </w:r>
    </w:p>
    <w:bookmarkEnd w:id="11"/>
    <w:bookmarkStart w:id="13" w:name="mecanismo-central-e-frentes-de-trabalho"/>
    <w:p>
      <w:pPr>
        <w:pStyle w:val="Heading2"/>
      </w:pPr>
      <w:r>
        <w:t xml:space="preserve">4. Mecanismo central e frentes de trabalho</w:t>
      </w:r>
    </w:p>
    <w:p>
      <w:pPr>
        <w:pStyle w:val="FirstParagraph"/>
      </w:pPr>
      <w:r>
        <w:t xml:space="preserve">Ordem de entrega decidida:</w:t>
      </w:r>
      <w:r>
        <w:t xml:space="preserve"> </w:t>
      </w:r>
      <w:r>
        <w:rPr>
          <w:b/>
          <w:bCs/>
        </w:rPr>
        <w:t xml:space="preserve">serviço primeiro, sensor depois</w:t>
      </w:r>
      <w:r>
        <w:t xml:space="preserve">. O aconselhamento nasce de fatura e curva de carga (software puro, testável com empresa real sem esperar hardware); o sensor entra onde agrega medição por equipamento e desligamento.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O que entrega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Aconselhamento (núcleo)</w:t>
            </w:r>
          </w:p>
        </w:tc>
        <w:tc>
          <w:tcPr/>
          <w:p>
            <w:pPr>
              <w:pStyle w:val="Compact"/>
            </w:pPr>
            <w:r>
              <w:t xml:space="preserve">Custo por horário de tarifa, ranking de equipamentos, recomendação</w:t>
            </w:r>
            <w:r>
              <w:t xml:space="preserve"> </w:t>
            </w:r>
            <w:r>
              <w:t xml:space="preserve">“mover/desligar X economiza R$ Z”</w:t>
            </w:r>
            <w:r>
              <w:t xml:space="preserve">. Entrada: fatura e curva de carga do cliente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Databases / ingestão</w:t>
            </w:r>
          </w:p>
        </w:tc>
        <w:tc>
          <w:tcPr/>
          <w:p>
            <w:pPr>
              <w:pStyle w:val="Compact"/>
            </w:pPr>
            <w:r>
              <w:t xml:space="preserve">Esquema de séries temporais (DuckDB/Parquet no piloto, padrão do repo), ingestão de fatura/curva (arquivo) e de sensor (MQTT ou API), reindexação de calendário para lidar com falha de conexão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Datasets</w:t>
            </w:r>
          </w:p>
        </w:tc>
        <w:tc>
          <w:tcPr/>
          <w:p>
            <w:pPr>
              <w:pStyle w:val="Compact"/>
            </w:pPr>
            <w:r>
              <w:t xml:space="preserve">(1) datasets públicos de consumo por equipamento para prototipar modelos (a levantar;</w:t>
            </w:r>
            <w:r>
              <w:t xml:space="preserve"> </w:t>
            </w:r>
            <w:r>
              <w:rPr>
                <w:b/>
                <w:bCs/>
              </w:rPr>
              <w:t xml:space="preserve">licença e adequação ao Brasil a verificar</w:t>
            </w:r>
            <w:r>
              <w:t xml:space="preserve">); (2) curva sintética com tarifa horária; (3) tarifas vigentes da Neoenergia PE (resolução ANEEL)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S a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Modelos de ML</w:t>
            </w:r>
          </w:p>
        </w:tc>
        <w:tc>
          <w:tcPr/>
          <w:p>
            <w:pPr>
              <w:pStyle w:val="Compact"/>
            </w:pPr>
            <w:r>
              <w:t xml:space="preserve">Baseline de consumo esperado por equipamento/hora (regressão, resíduo = anomalia), detecção de ociosidade, recomendação de janela; validação temporal sem vazamento; explicação por SHAP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Dashboard</w:t>
            </w:r>
          </w:p>
        </w:tc>
        <w:tc>
          <w:tcPr/>
          <w:p>
            <w:pPr>
              <w:pStyle w:val="Compact"/>
            </w:pPr>
            <w:r>
              <w:t xml:space="preserve">Next.js sobre a base da frente B; telas da seção 3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Hardware</w:t>
            </w:r>
          </w:p>
        </w:tc>
        <w:tc>
          <w:tcPr/>
          <w:p>
            <w:pPr>
              <w:pStyle w:val="Compact"/>
            </w:pPr>
            <w:r>
              <w:t xml:space="preserve">Piloto com sensores comerciais abertos (tomada + medidor de quadro; modelos, preço, certificação e corrente máxima a levantar).</w:t>
            </w:r>
            <w:r>
              <w:t xml:space="preserve"> </w:t>
            </w:r>
            <w:r>
              <w:rPr>
                <w:b/>
                <w:bCs/>
              </w:rPr>
              <w:t xml:space="preserve">Hardware próprio com energia autônoma</w:t>
            </w:r>
            <w:r>
              <w:t xml:space="preserve"> </w:t>
            </w:r>
            <w:r>
              <w:t xml:space="preserve">(decisão do grupo, 2026-10-01): placa com RTC, memória local e supercapacitor/bateria, para registrar horário e oscilações de carga independente de conexão e de rede elétrica. É requisito do produto, não exploração: sem ele, queda de energia e queda de Wi-Fi não se distinguem. Sensores comerciais ficam como atalho de M1/M2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M a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Referências (artigos)</w:t>
            </w:r>
          </w:p>
        </w:tc>
        <w:tc>
          <w:tcPr/>
          <w:p>
            <w:pPr>
              <w:pStyle w:val="Compact"/>
            </w:pPr>
            <w:r>
              <w:t xml:space="preserve">Revisão dos artigos já existentes (desagregação de carga, detecção de anomalia em consumo, resposta à demanda, M&amp;V) como base de método e baseline de comparação.</w:t>
            </w:r>
            <w:r>
              <w:t xml:space="preserve"> </w:t>
            </w:r>
            <w:r>
              <w:rPr>
                <w:b/>
                <w:bCs/>
              </w:rPr>
              <w:t xml:space="preserve">Não inclui escrever artigo novo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Regulatório e LGPD</w:t>
            </w:r>
          </w:p>
        </w:tc>
        <w:tc>
          <w:tcPr/>
          <w:p>
            <w:pPr>
              <w:pStyle w:val="Compact"/>
            </w:pPr>
            <w:r>
              <w:t xml:space="preserve">Leitura da regra ANEEL vigente de ressarcimento por dano elétrico, modalidades tarifárias, LGPD do consumo por equipamento (revela rotina), parecer sobre valor probatório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S a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Dados reais iniciais</w:t>
            </w:r>
          </w:p>
        </w:tc>
        <w:tc>
          <w:tcPr/>
          <w:p>
            <w:pPr>
              <w:pStyle w:val="Compact"/>
            </w:pPr>
            <w:r>
              <w:t xml:space="preserve">Escolher o dataset público de M1 e montar o ambiente de coleta do próprio grupo (bancada, casa, laboratório) para o sensor, com período e equipamentos definidos. A validação de mercado do professor segue como premissa aceita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Start w:id="12" w:name="marcos"/>
    <w:p>
      <w:pPr>
        <w:pStyle w:val="Heading3"/>
      </w:pPr>
      <w:r>
        <w:t xml:space="preserve">Marcos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M0, preparação:</w:t>
      </w:r>
      <w:r>
        <w:t xml:space="preserve"> </w:t>
      </w:r>
      <w:r>
        <w:t xml:space="preserve">cotação de 3 a 5 sensores e BOM do hardware próprio, tarifa vigente, segmento-alvo, unit economics de uma página, datasets com licença, regra ANEEL lida, pedido de componentes de prazo longo. (Frentes C, F, H, I.)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M1, serviço sem sensor:</w:t>
      </w:r>
      <w:r>
        <w:t xml:space="preserve"> </w:t>
      </w:r>
      <w:r>
        <w:t xml:space="preserve">fatura/curva de uma empresa → custo por horário → ranking e recomendação em DuckDB e um gráfico. (A, B, 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M2, sensor no piloto:</w:t>
      </w:r>
      <w:r>
        <w:t xml:space="preserve"> </w:t>
      </w:r>
      <w:r>
        <w:t xml:space="preserve">1 sensor → ingestão → DuckDB → gráfico, depois piloto em 1 empresa com tomada e, se couber, medidor de quadro. Inclui desligamento remoto com regra explícita do cliente. (B, D, E, F.)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M3, economia medida:</w:t>
      </w:r>
      <w:r>
        <w:t xml:space="preserve"> </w:t>
      </w:r>
      <w:r>
        <w:t xml:space="preserve">relatório antes × depois sobre dado real do ambiente do grupo, com baseline e explicação de cada alerta. (D, E, I.)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M4, prova de queda/dano:</w:t>
      </w:r>
      <w:r>
        <w:t xml:space="preserve"> </w:t>
      </w:r>
      <w:r>
        <w:t xml:space="preserve">só após o piloto e depois do parecer da frente H. M1 a M3 apenas registram tensão e eventos com carimbo de tempo local, para não perder dado.</w:t>
      </w:r>
    </w:p>
    <w:p>
      <w:pPr>
        <w:pStyle w:val="FirstParagraph"/>
      </w:pPr>
      <w:r>
        <w:t xml:space="preserve">Caminho crítico:</w:t>
      </w:r>
      <w:r>
        <w:t xml:space="preserve"> </w:t>
      </w:r>
      <w:r>
        <w:rPr>
          <w:b/>
          <w:bCs/>
        </w:rPr>
        <w:t xml:space="preserve">hardware (F) e dados reais iniciais (I)</w:t>
      </w:r>
      <w:r>
        <w:t xml:space="preserve">. As frentes de código não bloqueiam o plano.</w:t>
      </w:r>
    </w:p>
    <w:bookmarkEnd w:id="12"/>
    <w:bookmarkEnd w:id="13"/>
    <w:bookmarkStart w:id="14" w:name="estrutura-mínima-proposta-mvp"/>
    <w:p>
      <w:pPr>
        <w:pStyle w:val="Heading2"/>
      </w:pPr>
      <w:r>
        <w:t xml:space="preserve">5. Estrutura mínima proposta (MVP)</w:t>
      </w:r>
    </w:p>
    <w:p>
      <w:pPr>
        <w:pStyle w:val="FirstParagraph"/>
      </w:pPr>
      <w:r>
        <w:t xml:space="preserve">Entidades: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(tipo: tomada/quadro; modelo; carga monitorada),</w:t>
      </w:r>
      <w:r>
        <w:t xml:space="preserve"> </w:t>
      </w:r>
      <w:r>
        <w:rPr>
          <w:rStyle w:val="VerbatimChar"/>
        </w:rPr>
        <w:t xml:space="preserve">equipamento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leitura</w:t>
      </w:r>
      <w:r>
        <w:t xml:space="preserve"> </w:t>
      </w:r>
      <w:r>
        <w:t xml:space="preserve">(instante, potência, tensão, kWh),</w:t>
      </w:r>
      <w:r>
        <w:t xml:space="preserve"> </w:t>
      </w:r>
      <w:r>
        <w:rPr>
          <w:rStyle w:val="VerbatimChar"/>
        </w:rPr>
        <w:t xml:space="preserve">tarifa</w:t>
      </w:r>
      <w:r>
        <w:t xml:space="preserve"> </w:t>
      </w:r>
      <w:r>
        <w:t xml:space="preserve">(modalidade, faixa horária, valor),</w:t>
      </w:r>
      <w:r>
        <w:t xml:space="preserve"> </w:t>
      </w:r>
      <w:r>
        <w:rPr>
          <w:rStyle w:val="VerbatimChar"/>
        </w:rPr>
        <w:t xml:space="preserve">regra_desligamento</w:t>
      </w:r>
      <w:r>
        <w:t xml:space="preserve"> </w:t>
      </w:r>
      <w:r>
        <w:t xml:space="preserve">(equipamento, horário, quem autorizou),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 </w:t>
      </w:r>
      <w:r>
        <w:t xml:space="preserve">(queda, subtensão, desligamento executado, origem da ordem),</w:t>
      </w:r>
      <w:r>
        <w:t xml:space="preserve"> </w:t>
      </w:r>
      <w:r>
        <w:rPr>
          <w:rStyle w:val="VerbatimChar"/>
        </w:rPr>
        <w:t xml:space="preserve">recomendacao</w:t>
      </w:r>
      <w:r>
        <w:t xml:space="preserve">.</w:t>
      </w:r>
    </w:p>
    <w:bookmarkEnd w:id="14"/>
    <w:bookmarkStart w:id="15" w:name="Xfb82d92048a99ba65cf921c747acbc5f5c73b3b"/>
    <w:p>
      <w:pPr>
        <w:pStyle w:val="Heading2"/>
      </w:pPr>
      <w:r>
        <w:t xml:space="preserve">6. Decisões sensíveis já tomadas (registradas de propósito)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Desligamento automático só com regra explícita do cliente</w:t>
      </w:r>
      <w:r>
        <w:t xml:space="preserve">, nunca em equipamento crítico, com registro de quem/qual regra desligou. Não é esquecimento: é trava de segurança.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prova contra distribuidora fica no escopo, mas depois do piloto</w:t>
      </w:r>
      <w:r>
        <w:t xml:space="preserve"> </w:t>
      </w:r>
      <w:r>
        <w:t xml:space="preserve">e sem prometê-la a cliente antes do parecer da frente H. Foi conselho do professor manter no escopo.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reportar precisão/recall inventados.</w:t>
      </w:r>
      <w:r>
        <w:t xml:space="preserve"> </w:t>
      </w:r>
      <w:r>
        <w:t xml:space="preserve">Sem rótulo real, o critério é nº de alertas corroborados pelo cliente (mesma regra do</w:t>
      </w:r>
      <w:r>
        <w:t xml:space="preserve"> </w:t>
      </w:r>
      <w:r>
        <w:rPr>
          <w:rStyle w:val="VerbatimChar"/>
        </w:rPr>
        <w:t xml:space="preserve">crisp_dm.md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 número de economia ou preço antes de medição ou cotação.</w:t>
      </w:r>
      <w:r>
        <w:t xml:space="preserve"> </w:t>
      </w:r>
      <w:r>
        <w:t xml:space="preserve">Campos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permanecem assim até haver fonte.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Validação de mercado aceita como premissa</w:t>
      </w:r>
      <w:r>
        <w:t xml:space="preserve"> </w:t>
      </w:r>
      <w:r>
        <w:t xml:space="preserve">(decisão do grupo, 2026-10-01): a avaliação do professor basta como ponto de partida. O que o plano exige agora é dado real inicial, não entrevistas nem gate de empresas.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 próprio segue como requisito</w:t>
      </w:r>
      <w:r>
        <w:t xml:space="preserve"> </w:t>
      </w:r>
      <w:r>
        <w:t xml:space="preserve">(decisão do grupo), mas o primeiro uso é no ambiente do próprio grupo (bancada, casa, laboratório) e só com desligamento remoto</w:t>
      </w:r>
      <w:r>
        <w:t xml:space="preserve"> </w:t>
      </w:r>
      <w:r>
        <w:rPr>
          <w:b/>
          <w:bCs/>
        </w:rPr>
        <w:t xml:space="preserve">desativado</w:t>
      </w:r>
      <w:r>
        <w:t xml:space="preserve"> </w:t>
      </w:r>
      <w:r>
        <w:t xml:space="preserve">(recomendação apenas) até os critérios de segurança do M2 passarem. Instalação em terceiros depende de checklist de segurança elétrica e do caminho de certificação mapeado no M0.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o grupo está em pré-incubação e pivotando por falta de tração; o plano otimiza para aprender rápido e barato, não para faturar.</w:t>
      </w:r>
    </w:p>
    <w:bookmarkEnd w:id="15"/>
    <w:bookmarkStart w:id="16" w:name="X6dcb39867f6561f819a6b9572d9e83c6c3515fb"/>
    <w:p>
      <w:pPr>
        <w:pStyle w:val="Heading2"/>
      </w:pPr>
      <w:r>
        <w:t xml:space="preserve">7. Infraestrutura existente que o plano reaproveita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O que reaproveita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z-score sazonal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src/redflags_perdas.py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perda_dist()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Primeiro detector de anomalia por equipamento; limiar precisa ser recalibrado (calibrado em série agregada longa)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Plano do modelo 3.2 (regressão do esperado, resíduo = anomalia)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docs/modelagem_redflags.md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docs/crisp_dm.md</w:t>
            </w:r>
          </w:p>
        </w:tc>
        <w:tc>
          <w:tcPr/>
          <w:p>
            <w:pPr>
              <w:pStyle w:val="Compact"/>
            </w:pPr>
            <w:r>
              <w:t xml:space="preserve">Mesma lógica de modelo; aqui o dado é denso, o boosting faz mais 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(pandas, duckdb, pyarrow, xgboost, lightgbm, scikit-learn);</w:t>
            </w:r>
            <w:r>
              <w:t xml:space="preserve"> </w:t>
            </w:r>
            <w:r>
              <w:rPr>
                <w:rStyle w:val="VerbatimChar"/>
              </w:rPr>
              <w:t xml:space="preserve">shap</w:t>
            </w:r>
            <w:r>
              <w:t xml:space="preserve"> </w:t>
            </w:r>
            <w:r>
              <w:t xml:space="preserve">ainda não está nas dependências</w:t>
            </w:r>
          </w:p>
        </w:tc>
        <w:tc>
          <w:tcPr/>
          <w:p>
            <w:pPr>
              <w:pStyle w:val="Compact"/>
            </w:pPr>
            <w:r>
              <w:t xml:space="preserve">Frentes B e D; adicionar</w:t>
            </w:r>
            <w:r>
              <w:t xml:space="preserve"> </w:t>
            </w:r>
            <w:r>
              <w:rPr>
                <w:rStyle w:val="VerbatimChar"/>
              </w:rPr>
              <w:t xml:space="preserve">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Armazenamento Parquet/DuckDB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data/consumo/*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samp_balanco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Padrão de pasta e formato para novas séries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de download reutilizável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src/ons_load.py</w:t>
            </w:r>
          </w:p>
        </w:tc>
        <w:tc>
          <w:tcPr/>
          <w:p>
            <w:pPr>
              <w:pStyle w:val="Compact"/>
            </w:pPr>
            <w:r>
              <w:t xml:space="preserve">Padrão para ingestão de dataset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 de análise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src/plot_perdas_ano.py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src/plot_br_consumo.py</w:t>
            </w:r>
          </w:p>
        </w:tc>
        <w:tc>
          <w:tcPr/>
          <w:p>
            <w:pPr>
              <w:pStyle w:val="Compact"/>
            </w:pPr>
            <w:r>
              <w:t xml:space="preserve">Base para os primeiros gráficos de M1 e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públicos de consumo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data/consumo/epe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data/consumo/ons</w:t>
            </w:r>
          </w:p>
        </w:tc>
        <w:tc>
          <w:tcPr/>
          <w:p>
            <w:pPr>
              <w:pStyle w:val="Compact"/>
            </w:pPr>
            <w:r>
              <w:t xml:space="preserve">Só contexto e benchmark por UF/classe.</w:t>
            </w:r>
            <w:r>
              <w:t xml:space="preserve"> </w:t>
            </w:r>
            <w:r>
              <w:rPr>
                <w:b/>
                <w:bCs/>
              </w:rPr>
              <w:t xml:space="preserve">Não servem para treinar modelo por equipamento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D4 (calendário completo), D6, D7 (SHAP sem tautologia), T2 (split temporal)</w:t>
            </w:r>
          </w:p>
        </w:tc>
        <w:tc>
          <w:tcPr/>
          <w:p>
            <w:pPr>
              <w:pStyle w:val="Compact"/>
            </w:pPr>
            <w:r>
              <w:t xml:space="preserve">CEO review de 2026-09-11, handoff do repo</w:t>
            </w:r>
          </w:p>
        </w:tc>
        <w:tc>
          <w:tcPr/>
          <w:p>
            <w:pPr>
              <w:pStyle w:val="Compact"/>
            </w:pPr>
            <w:r>
              <w:t xml:space="preserve">Aplicam-se diretamente à série de sensor, onde o buraco de conexão é pior que nas distribuidoras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Pendência de validação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TODOS.md</w:t>
            </w:r>
          </w:p>
        </w:tc>
        <w:tc>
          <w:tcPr/>
          <w:p>
            <w:pPr>
              <w:pStyle w:val="Compact"/>
            </w:pPr>
            <w:r>
              <w:t xml:space="preserve">Fase A continua trilha separada, entrega acadêmica combinada</w:t>
            </w:r>
          </w:p>
        </w:tc>
      </w:tr>
    </w:tbl>
    <w:bookmarkEnd w:id="16"/>
    <w:bookmarkStart w:id="17" w:name="X61fe3f8769c59043d5f97a2b9ec167fa8b1284a"/>
    <w:p>
      <w:pPr>
        <w:pStyle w:val="Heading2"/>
      </w:pPr>
      <w:r>
        <w:t xml:space="preserve">8. Perguntas abertas para a Natália e o professor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Donos de cada frente</w:t>
      </w:r>
      <w:r>
        <w:t xml:space="preserve"> </w:t>
      </w:r>
      <w:r>
        <w:t xml:space="preserve">(seção 4), e quantas pessoas existem no grupo.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 tipo de empresa e equipamento</w:t>
      </w:r>
      <w:r>
        <w:t xml:space="preserve"> </w:t>
      </w:r>
      <w:r>
        <w:t xml:space="preserve">o professor tem em mente? Define sensor, tarifa e o que é</w:t>
      </w:r>
      <w:r>
        <w:t xml:space="preserve"> </w:t>
      </w:r>
      <w:r>
        <w:t xml:space="preserve">“carga grande”</w:t>
      </w:r>
      <w:r>
        <w:t xml:space="preserve"> </w:t>
      </w:r>
      <w:r>
        <w:t xml:space="preserve">demais para tomada.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Dados reais iniciais:</w:t>
      </w:r>
      <w:r>
        <w:t xml:space="preserve"> </w:t>
      </w:r>
      <w:r>
        <w:t xml:space="preserve">que ambiente do grupo serve de bancada (casa, laboratório) e que equipamentos medir?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 de cobrança:</w:t>
      </w:r>
      <w:r>
        <w:t xml:space="preserve"> </w:t>
      </w:r>
      <w:r>
        <w:t xml:space="preserve">mensalidade fixa por sensor/unidade, faixa de consumo ou parte da economia?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Neoenergia:</w:t>
      </w:r>
      <w:r>
        <w:t xml:space="preserve"> </w:t>
      </w:r>
      <w:r>
        <w:t xml:space="preserve">canal/parceira (hipótese de 2.3 do design) ou contraparte adversarial pela prova de dano? As duas posições não cabem juntas, e isso afeta o Projeto 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Hardware próprio:</w:t>
      </w:r>
      <w:r>
        <w:t xml:space="preserve"> </w:t>
      </w:r>
      <w:r>
        <w:t xml:space="preserve">decisão do grupo (2026-10-01): bateria recarregável própria, carregada pela alimentação da tomada, mais last gasp para gravar o início da queda. Falta escolher a química (LiFePO4 × Li-ion), validar autonomia e recarga em bancada, e definir quem do grupo domina eletrônica embarcada, segurança de bateria e certificação Anatel/Inmetro.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Quais datasets públicos</w:t>
      </w:r>
      <w:r>
        <w:t xml:space="preserve"> </w:t>
      </w:r>
      <w:r>
        <w:t xml:space="preserve">o grupo já conhece e podem entrar na frente C, e quais artigos pré-existentes entram em 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Parecer jurídico:</w:t>
      </w:r>
      <w:r>
        <w:t xml:space="preserve"> </w:t>
      </w:r>
      <w:r>
        <w:t xml:space="preserve">quem tem acesso a uma pessoa que entenda de regulação do consumidor?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Fase A (redflags de perda):</w:t>
      </w:r>
      <w:r>
        <w:t xml:space="preserve"> </w:t>
      </w:r>
      <w:r>
        <w:t xml:space="preserve">segue como trilha acadêmica separada, como proposto, ou é absorvida na nova narrativa?</w:t>
      </w:r>
    </w:p>
    <w:bookmarkEnd w:id="17"/>
    <w:bookmarkStart w:id="18" w:name="esforço-estimado-ordem-de-grandeza"/>
    <w:p>
      <w:pPr>
        <w:pStyle w:val="Heading2"/>
      </w:pPr>
      <w:r>
        <w:t xml:space="preserve">9. Esforço estimado (ordem de grandeza)</w:t>
      </w:r>
    </w:p>
    <w:p>
      <w:pPr>
        <w:pStyle w:val="FirstParagraph"/>
      </w:pPr>
      <w:r>
        <w:t xml:space="preserve">S a M para cada frente de software (A, B, C, D, E); M a L para hardware (F), porque compra, certificação e instalação não dependem da velocidade de código; S para G, H e I, mas H depende de terceiros (jurídico). O total é decidido pelo caminho crítico (hardware e empresa-piloto), não pela soma das frentes de código.</w:t>
      </w:r>
    </w:p>
    <w:bookmarkEnd w:id="18"/>
    <w:bookmarkStart w:id="19" w:name="Xd01d26a48ceef2faa6c35297ff33d5fd99f2ebb"/>
    <w:p>
      <w:pPr>
        <w:pStyle w:val="Heading2"/>
      </w:pPr>
      <w:r>
        <w:t xml:space="preserve">10. O que este plano deliberadamente NÃO resolve</w:t>
      </w:r>
    </w:p>
    <w:p>
      <w:pPr>
        <w:pStyle w:val="Compact"/>
        <w:numPr>
          <w:ilvl w:val="0"/>
          <w:numId w:val="1005"/>
        </w:numPr>
      </w:pPr>
      <w:r>
        <w:t xml:space="preserve">Nome do produto, preço e unit economics (sem cotação nem medição).</w:t>
      </w:r>
    </w:p>
    <w:p>
      <w:pPr>
        <w:pStyle w:val="Compact"/>
        <w:numPr>
          <w:ilvl w:val="0"/>
          <w:numId w:val="1005"/>
        </w:numPr>
      </w:pPr>
      <w:r>
        <w:t xml:space="preserve">Donos e datas (sem calendário; os marcos são ordem, não prazo).</w:t>
      </w:r>
    </w:p>
    <w:p>
      <w:pPr>
        <w:pStyle w:val="Compact"/>
        <w:numPr>
          <w:ilvl w:val="0"/>
          <w:numId w:val="1005"/>
        </w:numPr>
      </w:pPr>
      <w:r>
        <w:t xml:space="preserve">Qual dataset público específico usar e se a licença permite uso comercial.</w:t>
      </w:r>
    </w:p>
    <w:p>
      <w:pPr>
        <w:pStyle w:val="Compact"/>
        <w:numPr>
          <w:ilvl w:val="0"/>
          <w:numId w:val="1005"/>
        </w:numPr>
      </w:pPr>
      <w:r>
        <w:t xml:space="preserve">Valor jurídico real da medição de uma tomada comercial.</w:t>
      </w:r>
    </w:p>
    <w:p>
      <w:pPr>
        <w:pStyle w:val="Compact"/>
        <w:numPr>
          <w:ilvl w:val="0"/>
          <w:numId w:val="1005"/>
        </w:numPr>
      </w:pPr>
      <w:r>
        <w:t xml:space="preserve">Modelagem final de ML: só direção (baseline de consumo esperado, resíduo, SHAP), sem escolha de features.</w:t>
      </w:r>
    </w:p>
    <w:p>
      <w:pPr>
        <w:pStyle w:val="Compact"/>
        <w:numPr>
          <w:ilvl w:val="0"/>
          <w:numId w:val="1005"/>
        </w:numPr>
      </w:pPr>
      <w:r>
        <w:t xml:space="preserve">Telas do dashboard além da lista da seção 3.</w:t>
      </w:r>
    </w:p>
    <w:p>
      <w:pPr>
        <w:pStyle w:val="Compact"/>
        <w:numPr>
          <w:ilvl w:val="0"/>
          <w:numId w:val="1005"/>
        </w:numPr>
      </w:pPr>
      <w:r>
        <w:t xml:space="preserve">Integração com a Neoenergia (canal ou contraparte), por decisão pendente.</w:t>
      </w:r>
    </w:p>
    <w:p>
      <w:pPr>
        <w:pStyle w:val="Compact"/>
        <w:numPr>
          <w:ilvl w:val="0"/>
          <w:numId w:val="1005"/>
        </w:numPr>
      </w:pPr>
      <w:r>
        <w:t xml:space="preserve">Escrita de artigo novo: os artigos entram só como referência.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2026-10-01T18:39:07Z</dcterms:created>
  <dcterms:modified xsi:type="dcterms:W3CDTF">2026-10-01T18:39:07Z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