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Microsoft YaHei" w:eastAsia="微软雅黑" w:hAnsi="Microsoft YaHei"/>
          <w:b/>
          <w:bCs/>
          <w:color w:val="1F4E79"/>
          <w:sz w:val="34"/>
          <w:szCs w:val="34"/>
        </w:rPr>
        <w:t xml:space="preserve">A股基金业绩数据更新流程系统化</w:t>
      </w:r>
    </w:p>
    <w:p>
      <w:pPr>
        <w:spacing w:after="160"/>
        <w:jc w:val="center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业务澄清问题清单</w:t>
      </w:r>
    </w:p>
    <w:p>
      <w:pPr>
        <w:pBdr>
          <w:bottom w:val="single" w:color="1F4E79" w:sz="6" w:space="4"/>
        </w:pBdr>
        <w:spacing w:after="60"/>
        <w:jc w:val="center"/>
      </w:pPr>
      <w:r>
        <w:rPr>
          <w:rFonts w:ascii="Microsoft YaHei" w:eastAsia="微软雅黑" w:hAnsi="Microsoft YaHei"/>
          <w:color w:val="595959"/>
          <w:sz w:val="18"/>
          <w:szCs w:val="18"/>
        </w:rPr>
        <w:t xml:space="preserve">编制日期：2026-09-21　｜　依据：《A股基金业绩数据更新VBA-解读.md》　｜　版本：V1.1（预填推荐方案，待业务部门确认）</w:t>
      </w:r>
    </w:p>
    <w:p>
      <w:pPr>
        <w:pStyle w:val="Heading1"/>
        <w:spacing w:after="100" w:before="24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编制说明</w:t>
      </w:r>
    </w:p>
    <w:p>
      <w:pPr>
        <w:spacing w:after="100" w:line="300"/>
        <w:jc w:val="both"/>
      </w:pPr>
      <w:r>
        <w:rPr>
          <w:rFonts w:ascii="Microsoft YaHei" w:eastAsia="微软雅黑" w:hAnsi="Microsoft YaHei"/>
          <w:sz w:val="21"/>
          <w:szCs w:val="21"/>
        </w:rPr>
        <w:t xml:space="preserve">现行“A股基金业绩数据更新”以启用宏的 Excel 工作簿（VBA）批量完成 322 只 A 股基金的“基金净值增长率 vs 业绩比较基准收益率”对比计算，并生成披露系统可导入的标准文件。为将该流程系统化重构，现依据对工作簿全量解读所确认的现状，梳理出需业务部门澄清确认的口径、规则与职责事项，共 6 类 44 题（高优先级 17 题、中 22 题、低 5 题）；每题附项目组推荐方案，供业务部门确认或修订。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Microsoft YaHei" w:eastAsia="微软雅黑" w:hAnsi="Microsoft YaHei"/>
          <w:sz w:val="21"/>
          <w:szCs w:val="21"/>
        </w:rPr>
        <w:t xml:space="preserve">每题“背景与依据”说明现行 VBA 的处理方式即提问缘由；若对现行口径的描述本身有不同理解，请在回复中一并指出。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Microsoft YaHei" w:eastAsia="微软雅黑" w:hAnsi="Microsoft YaHei"/>
          <w:sz w:val="21"/>
          <w:szCs w:val="21"/>
        </w:rPr>
        <w:t xml:space="preserve">“推荐方案”（蓝色文字）为项目组基于解读结论与行业惯例的预填建议：同意的请标注“确认”，不同意的请直接修订或批注理由。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Microsoft YaHei" w:eastAsia="微软雅黑" w:hAnsi="Microsoft YaHei"/>
          <w:sz w:val="21"/>
          <w:szCs w:val="21"/>
        </w:rPr>
        <w:t xml:space="preserve">高优先级问题（红色标注，共 17 题）直接影响计算正确性与监管披露口径，建议优先安排专项沟通逐题确认。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Microsoft YaHei" w:eastAsia="微软雅黑" w:hAnsi="Microsoft YaHei"/>
          <w:sz w:val="21"/>
          <w:szCs w:val="21"/>
        </w:rPr>
        <w:t xml:space="preserve">其中第 25 题涉及现行 VBA 疑似缺陷（第 5 成分权重取错列），可能影响历史披露结果，建议单独立项排查。</w:t>
      </w:r>
    </w:p>
    <w:p>
      <w:pPr>
        <w:pStyle w:val="Heading1"/>
        <w:spacing w:after="100" w:before="24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问题分布概览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1600"/>
        <w:gridCol w:w="2226"/>
      </w:tblGrid>
      <w:tr>
        <w:trPr>
          <w:tblHeader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题号范围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题数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其中高优先级</w:t>
            </w:r>
          </w:p>
        </w:tc>
      </w:tr>
      <w:tr>
        <w:trPr>
          <w:trHeight w:val="400" w:hRule="atLeast"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一、业绩比较基准结构化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1–8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二、外部数据读取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9–15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三、业绩比较计算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16–25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trHeight w:val="400" w:hRule="atLeast"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四、业绩比较基准展示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26–31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rHeight w:val="400" w:hRule="atLeast"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五、异常场景处理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32–38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rHeight w:val="400" w:hRule="atLeast"/>
        </w:trP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六、维护与查看权限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39–44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3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19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22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17</w:t>
            </w:r>
          </w:p>
        </w:tc>
      </w:tr>
    </w:tbl>
    <w:p>
      <w:pPr>
        <w:pStyle w:val="Heading1"/>
        <w:spacing w:after="80" w:before="30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一、业绩比较基准结构化（第 1–8 题）</w:t>
      </w:r>
    </w:p>
    <w:p>
      <w:pPr>
        <w:spacing w:after="100"/>
        <w:jc w:val="both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基准如何建模为主数据：成分构成、权重口径、变更历史、唯一标识，以及复合基准与汇率折算列的归属。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150"/>
        <w:gridCol w:w="620"/>
        <w:gridCol w:w="2896"/>
      </w:tblGrid>
      <w:tr>
        <w:trPr>
          <w:tblHeader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背景与依据（现行 VBA 现状）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推荐方案（待业务确认）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现行「基金信息」表最多支持 5 组「占比＋名称＋代码」成分基准。是否存在成分数超过 5 个的产品？若有，如何表达与维护？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基准配置固定 5 组三列，占比位于第 3/6/9/12/15 列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结构化后取消 5 组上限：基准配置改为「基金×成分」多行存储（基金代码、成分代码、权重、生效日），成分数不设限；存量 322 只按现行 5 组以内平移迁移。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组合基准按“每日以合同固定权重加权各成分当日收益”计算（等价于每日再平衡）。是否全部产品均为该口径？是否存在“各成分独立复利、期末按权重合并”的合同约定？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模块1 第 5 步逐日加权求和写入「基准日R+1」列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以合同为准：配置表增设口径标识（每日再平衡/期末合并），逐基金核对合同登记；存量默认按现行每日再平衡口径迁移，合同不同的单独标识处理。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各成分占比之和是否必须为 100%？若合计不等于 100%（如留有现金未指定基准），按原值加权还是归一化？某组成分为空时如何处理？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VBA 未做权重合计校验，直接按所填权重加权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保存时强制校验合计＝100%（容差 ±0.0001），不等即阻断提示；成分为空视为 0 权重跳过，但至少 1 个有效成分；现金未指定基准的情形须在合同层面先明确。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基金合同修订业绩比较基准（成分或权重变更）时，变更前后区间如何衔接？变更日所在披露区间用旧基准、新基准还是分段计算？历史报告是否需按变更时点切换重算？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基金信息表每基金一行，仅存一组当前配置，无生效日期区间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配置表增加生效日期区间（起/止日），计算按估值日落入的区间取配置；变更日所在区间分段计算（变更日前旧基准、其后新基准，日因子拼接）；历史报告原则上不追溯重算，监管另有要求的除外。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基准现行以“名称＋指数代码”双要素识别（名称用于“存款”类判断，代码用于行情列匹配）。系统化后基准主数据以什么为唯一键？基准代码清单由谁维护、新增流程如何走？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比较基准表第 1 行为简称、第 2 行为指数代码，双行表头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以 Wind 指数/指标代码为唯一键建基准主数据（代码、名称、类别、计息方式），名称仅作显示；新增基准由风险管理部统一维护，走配置变更审批后生效。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行情库中名称带“基准”的列（荣瑞基准、红利严选基准等）为上游预计算的复合基准，其生成规则是什么？系统化后纳入统一计算，还是继续外部维护后整列导入？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比较基准表含预计算复合基准列，由上游工具或人工维护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能用「成分＋权重」表达的复合基准一律改为系统内配置、统一计算，不再整列导入；确属外部定制指数无法拆解的，保留整列导入并登记来源与责任人。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港股经汇率调整、美元兑人民币等汇率折算基准列的折算规则如何定义——使用当日中间价还是估值日前一日？直接汇率还是交叉汇率？适用产品范围是哪些？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比较基准表含汇率折算列，汇率表为美元/港元兑人民币中间价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折算规则登记入基准主数据：估值日当日人民币中间价、直接汇率（以 Wind 代码为准）；境外成分在配置中标注币种，由系统自动折算，取消人工维护折算列。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现行以列名含“存款”二字判定单利计息分支（含定存、活期、固定存款 6%、七天通知存款）。利率类基准命名规范是否稳定？是否存在不含“存款”字样而会被误判为指数的利率基准？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模块1 以 Like "*存款*" 识别利率类，依赖命名用字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识别依据由名称改为基准主数据「类别」字段（利率类走单利分支），彻底摆脱对“存款”用字的依赖；存量 134 列迁移时逐一核定类别。</w:t>
            </w:r>
          </w:p>
        </w:tc>
      </w:tr>
    </w:tbl>
    <w:p>
      <w:pPr>
        <w:pStyle w:val="Heading1"/>
        <w:spacing w:after="80" w:before="30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二、外部数据读取（第 9–15 题）</w:t>
      </w:r>
    </w:p>
    <w:p>
      <w:pPr>
        <w:spacing w:after="100"/>
        <w:jc w:val="both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Wind 净值与基准行情、汇率等外部输入的获取方式、交易日历、更新时点、校验与修订机制。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150"/>
        <w:gridCol w:w="620"/>
        <w:gridCol w:w="2896"/>
      </w:tblGrid>
      <w:tr>
        <w:trPr>
          <w:tblHeader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背景与依据（现行 VBA 现状）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推荐方案（待业务确认）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基金净值（单位净值/分红/折算净值）与基准行情现为 Wind 导出后粘贴入簿。系统化后继续文件导入还是接口直连？导出模板由谁维护、格式变更如何提前通知？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全簿原料为 Wind 导出，含 134 列基准行情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过渡期沿用 Wind 导出文件＋固定模板导入（模板由风险管理部维护，变更提前 5 个工作日通知）；二期评估 Wind 接口直连，消除人工粘贴环节。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现行以「基金净值」A 列日期整列覆盖「比较基准」A 列作为统一日期轴。系统化后交易日历以什么为准（交易所日历/Wind 日历）？临时休市如何同步？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宏1 第 2 步日期标准化对齐机制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以交易所官方日历为准、Wind 交易日序列交叉核对；临时休市按交易所公告维护，随数据包同步更新，不再以净值表日期轴反向覆盖。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利率类基准列存“当年年利率”。年内央行调整利率时，记录分段利率还是仅保留最新值？历史区间计算用当时适用利率还是最新利率？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比较基准表利率列存年利率小数（如 0.0225＝2.25%）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利率改为「生效日起止＋适用利率」分段记录，历史区间按当时适用利率分段计提；存量单列年利率在迁移时按央行调息公告拆分为分段。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汇率数据（美元/港元兑人民币中间价，来源人民银行）的更新频率与截止时点要求是什么——估值日当日几点前必须到位？是否有替代来源？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汇率表约 8,020 行，倒序存放（最新在最上）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估值日当日中间价，T 日 17:00 前随行情包到位；单一来源为人民银行中间价，缺失时告警并由数据管理岗人工补录留痕。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基金净值或基准行情晚到、部分到位时：等待齐套后统一计算，还是先算已齐套基金、缺数基金另行补算？部分结果是否允许先出？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VBA 为一次性整批计算，无分批补算机制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按基金粒度计算：净值与其全部成分基准齐套即计算出结果，缺数基金挂起并在结果表标注「数据未齐」，不因个别基金阻塞整批。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数据导入需要哪些强制校验（日期重复或缺失、非数值、净值≤0、异常跳变、基准列断档）？校验失败时阻断、告警还是人工确认放行？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VBA 无显式数据校验，依赖人工目检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双轨校验：格式类（日期重复/缺失、非数值、净值≤0）失败即阻断；业务类（日收益绝对值＞20%、基准断档＞5 个交易日）出告警清单，人工确认放行并留痕。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Wind 事后修订历史净值或指数点位时，是否触发重算与重新披露？修订的通知机制与影响评估流程是什么？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VBA 每次全量重算，但披露后的修订回溯无既定流程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修订触发影响评估：系统自动比对修订前后差异并重算受影响区间，差异超 0.01 个百分点的走披露更正流程评估；修订由数据管理岗统一登记分发。</w:t>
            </w:r>
          </w:p>
        </w:tc>
      </w:tr>
    </w:tbl>
    <w:p>
      <w:pPr>
        <w:pStyle w:val="Heading1"/>
        <w:spacing w:after="80" w:before="30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三、业绩比较计算（第 16–25 题）</w:t>
      </w:r>
    </w:p>
    <w:p>
      <w:pPr>
        <w:spacing w:after="100"/>
        <w:jc w:val="both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日收益、区间收益、波动率等核心算法口径的逐项确认，以及现行实现疑似缺陷的影响评估。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150"/>
        <w:gridCol w:w="620"/>
        <w:gridCol w:w="2896"/>
      </w:tblGrid>
      <w:tr>
        <w:trPr>
          <w:tblHeader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背景与依据（现行 VBA 现状）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推荐方案（待业务确认）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分红日基金日收益＝当日单位净值 ÷（前一日单位净值 − 每份分红）。请确认此总回报口径与监管披露要求一致，且不存在其他可选口径（如分红再投资时点差异）。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§5.1：普通日/除息日分支公式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确认现行口径（分红从前日净值中扣减作分母）为唯一实现口径，写入计算说明书；系统不再支持口径开关，避免同表出现两种算法。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份额折算/拆分日收益＝折算净值 ÷ 前一日单位净值。折算净值数据的提供时点与精度要求？基金转型（非折算形式）日如何处理？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§5.1：折算日以折算净值为分子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维持折算日公式；折算净值随净值数据同源同频导入，精度不低于 4 位小数；基金转型日在配置表登记特殊标识，逐例与产品部确认处理方式。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利率类基准按 1＋年利率/360×实际日历日间隔逐日计提（ACT/360 单利，跨周末节假日按实际天数补足）。请确认 ACT/360 为统一口径（而非 ACT/365 或 ACT/ACT）。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§5.2；验证例：2.5% 定存日因子 1.000069444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确认 ACT/360 为利率类统一口径（与历史披露保持可比）；个别合同约定其他天数基准的，在基准主数据按成分登记天数基准单独处理。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组合基准自“全部成分基准都有数据”的首个交易日起算。若某成分指数发布晚于基金成立日，此前区间的基准收益率如何披露（留空/按可得成分计算/按合同约定替代）？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§5.3：序列起点以保证不缺腿为准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以合同约定优先；合同未约定的，维持现行规则——自全部成分有数据之日起算，此前区间基准收益率留空并加脚注说明，不以可得成分替代。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现行仅在基金当日有收益的日期计算基准（基金缺净值日，基准同步不累计）。封闭期、暂停申赎等基金无净值期间，此对齐规则是否维持？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§5.3：与基金实际运作区间对齐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维持现行对齐规则（基金无净值日基准同步不累计），保证①与③区间一致可比；系统将其固化为默认行为并写入计算说明书。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各区间起点＝目标月（当前月−区间月数＋1）月首个交易日，且收益自起点前一交易日收盘起算（月首对齐、非精确周年日）。请确认此为披露认可口径。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§5.4；例：2026-06-30 的“过去三个月”起点为 2026-04-01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确认月首对齐＋自前一交易日收盘起算为披露口径（与历史披露连续可比）；起点规则由系统参数化实现并写入计算说明书，作为对外沟通统一依据。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现行固定 10 个区间（过去一/三/六个月、一/三/五/七/十年、自合同生效起至今、今年以来）。区间清单是否固定？季报/半年报/年报是否选取不同子集？是否需要支持自定义区间？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宏2 阶段一固定 10 个区间标签，需预先手工填写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10 个区间固化为默认全集；按报告类型（季报/半年报/年报）配置区间子集；支持参数化自定义区间，启用须走配置审批。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②/④ 为区间日收益率的样本标准差（StDev，除以 n−1）且不年化。请确认披露“波动率/标准差”即此口径（而非年化波动率或总体标准差）。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§5.5：对日因子取 StDev，数学上等价于对日收益率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确认样本标准差（n−1）、不年化为披露口径；个别场景需年化的，按「日波动率×√250」另行输出列，不覆盖原口径。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①~④ 先转为两位百分比文本，差值 ⑤①−③、⑥②−④ 由两位小数文本相减。系统化后沿用“差值由舍入后值相减”，还是由全精度计算后再舍入？舍入规则是否为四舍五入？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§5.6：Format$(x, "percent") 两位百分比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系统内部全精度计算，展示层四舍五入至两位百分比；⑤/⑥由全精度值相减后舍入（消除文本相减的精度损失），并与历史披露结果比对，差异超 0.01 个百分点的逐笔复核。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 VBA 计算第 5 成分权重时误读第 4 组占比列。请业务协助排查：哪些产品配置了第 5 成分基准？其历史披露结果是否受影响？是否需要追溯重算或更正披露？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§六 注意事项 2：BenchPercent5 取第 12 列而非第 15 列（疑似 Bug）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立项专项排查：先筛出配置第 5 成分的基金清单，用正确权重重算历史区间并与已披露值比对；差异≤0.01 个百分点的存档备查，超出的按披露更正流程评估；系统化实现中直接修正，不再复现该缺陷。</w:t>
            </w:r>
          </w:p>
        </w:tc>
      </w:tr>
    </w:tbl>
    <w:p>
      <w:pPr>
        <w:pStyle w:val="Heading1"/>
        <w:spacing w:after="80" w:before="30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四、业绩比较基准展示（第 26–31 题）</w:t>
      </w:r>
    </w:p>
    <w:p>
      <w:pPr>
        <w:spacing w:after="100"/>
        <w:jc w:val="both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披露表格样式、文字披露模板、导出文件格式与命名、启用范围及空值展示规范。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150"/>
        <w:gridCol w:w="620"/>
        <w:gridCol w:w="2896"/>
      </w:tblGrid>
      <w:tr>
        <w:trPr>
          <w:tblHeader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背景与依据（现行 VBA 现状）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推荐方案（待业务确认）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结果表为六列「①基金净值增长率、②标准差、③业绩比较基准收益率、④标准差、①−③、②−④」，两位百分比、居中。系统是否沿用此样式？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计算结果表：每基金一个 12 行块，322 块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沿用六列两位百分比样式（监管定期报告格式），系统输出与现行「计算结果」逐列一致，便于并行期核对。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文字披露模板“本报告期XXX净值增长率X%，波动率X%……业绩比较基准收益率X%，波动率X%。”是否唯一固定？A/C 份额尾缀自动区分输出的规则是否维持？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模块5 Macro3：INDIRECT 引用计算结果拼装文案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模板唯一固定、A/C 份额尾缀区分规则维持；模板文本纳入版本管理，历史模板留档可追溯。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导出目标为 Excel 97-2003 格式的「业绩导入2014.xls」「文字导入2014.xls」。披露系统是否强制 .xls 旧格式？文件名“2014”是年份还是模板版本号——2026 年仍沿用该命名是否正确？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§4.4/§4.5：另存为 xls 并删除 xlsx 暂存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与披露系统技术方确认格式依赖（.xls 存在行数与兼容性限制）：可升级则改 .xlsx，暂不可则系统兼容双格式输出；确认“2014”为模板版本号后，命名规范调整为「业绩导入{模板版本}_{估值日}」。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导出模板分非分级/分级/三级三套（参数表 M 列选择）。三套模板的差异与适用范围？分级基金 A/B/C 份额代码行的排布规则？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§4.4：按模板复制建以 6 位代码命名的 Sheet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请产品部提供三套模板的书面差异说明，固化为导出配置；分级 A/B/C 份额行排布规则随模板文档化，系统按配置自动选模板。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业绩导出按「参数」K 列＝1、文字导出按 L 列＝1 控制基金范围。两列含义有何差异？启用/停用的维护与审批流程？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§4.4/§4.5：两宏分别按 K/L 列筛选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K/L 两列合并为统一「披露启用」开关（可分别勾选业绩/文字导出）；启用与停用走配置审批并留操作日志。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区间数据不足（如新基金的“过去十年”）、结果为 0.00%、负值或无法计算时，展示规范是什么（空白/横线/0.00%/报错提示）？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解读未覆盖短历史区间的展示规范，现簿亦无成例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区间不足显示“—”并加脚注“区间不足”；0.00% 与负值正常显示；无法计算（基准缺腿等）显示空白并进入告警清单人工处理。</w:t>
            </w:r>
          </w:p>
        </w:tc>
      </w:tr>
    </w:tbl>
    <w:p>
      <w:pPr>
        <w:pStyle w:val="Heading1"/>
        <w:spacing w:after="80" w:before="30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五、异常场景处理（第 32–38 题）</w:t>
      </w:r>
    </w:p>
    <w:p>
      <w:pPr>
        <w:spacing w:after="100"/>
        <w:jc w:val="both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数据缺失、分母异常、清盘基金、长任务中断、截止日维护、文件覆盖与共享盘故障等异常下的系统行为约定。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150"/>
        <w:gridCol w:w="620"/>
        <w:gridCol w:w="2896"/>
      </w:tblGrid>
      <w:tr>
        <w:trPr>
          <w:tblHeader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背景与依据（现行 VBA 现状）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推荐方案（待业务确认）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某成分基准某日缺行情（指数停发、Wind 漏更）时：跳过该日、沿用前值补齐，还是整批阻断待修复后重算？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VBA 未显式处理基准单日缺失场景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单日缺失沿用前值（当日基准收益记 0）并告警登记；连续缺失＞5 个交易日阻断该基金计算，待人工修复后自动重算。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前一日单位净值减分红后≤0（巨额分红场景）导致日收益无穷大或负值，系统如何拦截与告警？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§5.1：分母为 NAVₜ₋₁−Dₜ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计算前校验分母≤0 及日收益绝对值＞20%，命中即中断该基金并进异常清单，人工核实（大额分红或数据错误）后修正放行，全程留痕。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清盘/终止基金是否移出计算清单？其历史区间结果是否照常导出？移出时点以清盘公告日还是最后净值日为准？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基金清单为静态手工维护（327 行），无状态字段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基金主数据增设状态字段（存续/终止）；以清盘公告日为准标记终止，最后净值日后移出计算与导出，历史结果归档保留可查。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现行全量计算约 530 秒，中断后重跑存在中间表污染风险。系统化后是否要求任务可重入、断点续算？失败时自动告警的对象与方式？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§六 注意事项 6：整表 Clear、逐格循环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任务幂等可重入：每次运行独立落快照，失败从断点续算、重跑不污染中间结果；失败自动告警运行人与数据管理岗；数组化改造后全量目标分钟级完成。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现行需每次运行前手工更新「基金信息!M2」为目标估值日，忘改则输出陈旧口径。系统化后计算截止日如何确定——自动取最新估值日、运行参数指定，还是双人复核？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§六 注意事项 4：M2 为日期截取与区间划分总开关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运行参数显式指定计算截止估值日，系统校验其不早于上次运行日、不晚于数据包最新日；默认自动取最新估值日，结果表头明示口径日期，双人复核保留。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现行导出会删除同目录同名旧文件。共享盘目录中历史版本文件的保留策略是什么（直接覆盖/按期归档/版本号递增）？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§六 注意事项 7：Kill/另存逻辑删除旧导出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共享盘按估值日建子目录归档（如 20260630\），仅当日重跑允许覆盖当期文件；导出文件保留不少于 3 年，杜绝误删历史版本。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共享盘（\\172.16.33.131）不可达导致上传失败时，重试机制、告警对象与补传流程是什么？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宏8/5/6 直接读写共享盘，无失败处理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上传失败自动重试 3 次（间隔 5 分钟），仍失败即告警运行人与数据管理岗，文件暂存本地待网络恢复补传；系统化后评估迁移至统一文件服务。</w:t>
            </w:r>
          </w:p>
        </w:tc>
      </w:tr>
    </w:tbl>
    <w:p>
      <w:pPr>
        <w:pStyle w:val="Heading1"/>
        <w:spacing w:after="80" w:before="300"/>
      </w:pPr>
      <w:r>
        <w:rPr>
          <w:rFonts w:ascii="Microsoft YaHei" w:eastAsia="微软雅黑" w:hAnsi="Microsoft YaHei"/>
          <w:b/>
          <w:bCs/>
          <w:color w:val="1F4E79"/>
          <w:sz w:val="26"/>
          <w:szCs w:val="26"/>
        </w:rPr>
        <w:t xml:space="preserve">六、维护与查看权限（第 39–44 题）</w:t>
      </w:r>
    </w:p>
    <w:p>
      <w:pPr>
        <w:spacing w:after="100"/>
        <w:jc w:val="both"/>
      </w:pPr>
      <w:r>
        <w:rPr>
          <w:rFonts w:ascii="Microsoft YaHei" w:eastAsia="微软雅黑" w:hAnsi="Microsoft YaHei"/>
          <w:color w:val="595959"/>
          <w:sz w:val="20"/>
          <w:szCs w:val="20"/>
        </w:rPr>
        <w:t xml:space="preserve">配置维护职责、运行与复核、过程数据查看范围、操作留痕、生产版本管理与应急交接。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150"/>
        <w:gridCol w:w="620"/>
        <w:gridCol w:w="2896"/>
      </w:tblGrid>
      <w:tr>
        <w:trPr>
          <w:tblHeader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背景与依据（现行 VBA 现状）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推荐方案（待业务确认）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基金清单与基准配置（代码/成分/权重）的维护责任人是谁？新增基金、基准变更的审批流程与时效要求（合同生效前几日须配置完成）？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基金信息表手工维护，无审批留痕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基准配置由风险管理部统一维护：产品部发起申请、风险管理部复核生效；时效要求合同生效前 5 个工作日完成配置并通过试算。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谁有权触发计算与导出？「计算结果」及导入文件上传披露系统前，是否需第二人复核？复核要点是什么（区间起点、基金数量、异常值抽查）？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现行单人点击按钮运行，无复核环节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运行权限限定岗位名册；上传披露系统前实行双人复核（复核要点固化为系统检查单：区间起点、基金数量、异常值、与上期变动），双签留痕后方可上传。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日收益等中间过程数据的查看权限范围（仅风险管理部内部/扩展至投资等部门）？保留期限多久？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原簿含「计算过程」「草稿」等多张过程表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过程数据默认限风险管理部内部查看，其他部门按需申请、部门负责人审批；保留期限与披露底稿一致（不少于 10 年）。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是否需要操作日志（操作人、时间、计算截止日、输出文件校验值）以满足内控与审计要求？现有监管检查是否曾提出留痕要求？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现仅在「基金信息」O2 记录运行耗时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系统自动记录操作日志（操作人、时间、计算截止日、输入数据版本、输出文件哈希），日志不可篡改，保留期限同披露底稿，满足内控与审计检查。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解读所用副本已被裁剪 9 张表（宏运行即报错）。生产完整版工作簿的保管人、备份策略、宏代码变更管理（谁可修改 VBA）如何安排？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解读 §六 注意事项 1：本副本不可直接运行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生产完整版指定专人保管、共享盘受控双副本备份；宏代码变更须经部门负责人批准并留版本记录；系统化上线后 VBA 降级为应急备份手段并封存基线版本。</w:t>
            </w:r>
          </w:p>
        </w:tc>
      </w:tr>
      <w:tr>
        <w:trPr>
          <w:trHeight w:val="620" w:hRule="atLeast"/>
        </w:trPr>
        <w:tc>
          <w:tcPr>
            <w:tcW w:type="dxa" w:w="56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280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sz w:val="18"/>
                <w:szCs w:val="18"/>
              </w:rPr>
              <w:t xml:space="preserve">现行维护人休假或离职时的备岗人选是谁？是否有操作手册（SOP）？系统化上线前的过渡期如何安排？</w:t>
            </w:r>
          </w:p>
        </w:tc>
        <w:tc>
          <w:tcPr>
            <w:tcW w:type="dxa" w:w="215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595959"/>
                <w:sz w:val="18"/>
                <w:szCs w:val="18"/>
              </w:rPr>
              <w:t xml:space="preserve">宏为个人经验维护，未见成文 SOP</w:t>
            </w:r>
          </w:p>
        </w:tc>
        <w:tc>
          <w:tcPr>
            <w:tcW w:type="dxa" w:w="620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Microsoft YaHei" w:eastAsia="微软雅黑" w:hAnsi="Microsoft YaHei"/>
                <w:b w:val="false"/>
                <w:bCs w:val="false"/>
                <w:color w:val="833C00"/>
                <w:sz w:val="18"/>
                <w:szCs w:val="18"/>
              </w:rPr>
              <w:t xml:space="preserve">中</w:t>
            </w:r>
          </w:p>
        </w:tc>
        <w:tc>
          <w:tcPr>
            <w:tcW w:type="dxa" w:w="2896"/>
            <w:tcBorders>
              <w:top w:val="single" w:color="9CB4D6" w:sz="4"/>
              <w:left w:val="single" w:color="9CB4D6" w:sz="4"/>
              <w:bottom w:val="single" w:color="9CB4D6" w:sz="4"/>
              <w:right w:val="single" w:color="9CB4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rFonts w:ascii="Microsoft YaHei" w:eastAsia="微软雅黑" w:hAnsi="Microsoft YaHei"/>
                <w:b w:val="false"/>
                <w:bCs w:val="false"/>
                <w:color w:val="1F4E79"/>
                <w:sz w:val="18"/>
                <w:szCs w:val="18"/>
              </w:rPr>
              <w:t xml:space="preserve">明确备岗 1 名并编制 SOP（运行步骤、常见故障、联系人清单）；系统化上线后并行运行 2 个披露期，比对一致后正式切换、VBA 封存。</w:t>
            </w:r>
          </w:p>
        </w:tc>
      </w:tr>
    </w:tbl>
    <w:p>
      <w:pPr>
        <w:pBdr>
          <w:top w:val="single" w:color="9CB4D6" w:sz="6" w:space="4"/>
        </w:pBdr>
        <w:spacing w:after="60" w:before="240"/>
      </w:pPr>
      <w:r>
        <w:rPr>
          <w:rFonts w:ascii="Microsoft YaHei" w:eastAsia="微软雅黑" w:hAnsi="Microsoft YaHei"/>
          <w:color w:val="595959"/>
          <w:sz w:val="18"/>
          <w:szCs w:val="18"/>
        </w:rPr>
        <w:t xml:space="preserve">反馈说明：本清单“背景与依据”均引自《A股基金业绩数据更新VBA-解读.md》对现行工作簿的分析结论，“推荐方案”为项目组建议、不代表既定结论。业务部门确认或修订后的意见将作为系统化需求定稿的输入；如对现行口径的描述有异议，请一并指出，项目组将同步修订解读文档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eastAsia="微软雅黑" w:hAnsi="Microsoft YaHei"/>
        <w:color w:val="595959"/>
        <w:sz w:val="16"/>
        <w:szCs w:val="16"/>
      </w:rPr>
      <w:t xml:space="preserve">第 </w:t>
    </w:r>
    <w:r>
      <w:rPr>
        <w:rFonts w:ascii="Microsoft YaHei" w:eastAsia="微软雅黑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eastAsia="微软雅黑" w:hAnsi="Microsoft YaHei"/>
        <w:color w:val="595959"/>
        <w:sz w:val="16"/>
        <w:szCs w:val="16"/>
      </w:rPr>
      <w:t xml:space="preserve"> 页 / 共 </w:t>
    </w:r>
    <w:r>
      <w:rPr>
        <w:rFonts w:ascii="Microsoft YaHei" w:eastAsia="微软雅黑" w:hAnsi="Microsoft YaHe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eastAsia="微软雅黑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eastAsia="微软雅黑" w:hAnsi="Microsoft YaHei"/>
        <w:color w:val="595959"/>
        <w:sz w:val="16"/>
        <w:szCs w:val="16"/>
      </w:rPr>
      <w:t xml:space="preserve">业务澄清问题清单（V1.1，预填推荐方案）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Microsoft YaHei" w:eastAsia="微软雅黑" w:hAnsi="Microsoft YaHe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A股基金业绩数据更新流程系统化——业务澄清问题清单</dc:title>
  <dc:creator>信息披露程序系统化项目组</dc:creator>
  <cp:lastModifiedBy>Un-named</cp:lastModifiedBy>
  <cp:revision>1</cp:revision>
  <dcterms:created xsi:type="dcterms:W3CDTF">2026-09-21T08:29:40.292Z</dcterms:created>
  <dcterms:modified xsi:type="dcterms:W3CDTF">2026-09-21T08:29:40.293Z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