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imHei" w:eastAsia="SimHei" w:hAnsi="SimHei"/>
          <w:b/>
          <w:bCs/>
          <w:sz w:val="36"/>
          <w:szCs w:val="36"/>
        </w:rPr>
        <w:t xml:space="preserve">场内产品溢价监控业务改造</w:t>
      </w:r>
    </w:p>
    <w:p>
      <w:pPr>
        <w:spacing w:after="240"/>
        <w:jc w:val="center"/>
      </w:pPr>
      <w:r>
        <w:rPr>
          <w:rFonts w:ascii="SimHei" w:eastAsia="SimHei" w:hAnsi="SimHei"/>
          <w:b/>
          <w:bCs/>
          <w:sz w:val="30"/>
          <w:szCs w:val="30"/>
        </w:rPr>
        <w:t xml:space="preserve">公告自动生成　需求澄清问题清单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0"/>
        <w:gridCol w:w="1600"/>
        <w:gridCol w:w="247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3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3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2026年9月21日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版本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V1.0（待业务回复）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需求名称</w:t>
            </w:r>
          </w:p>
        </w:tc>
        <w:tc>
          <w:tcPr>
            <w:tcW w:type="dxa" w:w="3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场内产品溢价监控业务改造：</w:t>
            </w:r>
          </w:p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自动生成溢价提示性公告（及停牌公告、停牌申请）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回复方式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见第五节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依据材料</w:t>
            </w:r>
          </w:p>
        </w:tc>
        <w:tc>
          <w:tcPr>
            <w:tcW w:type="dxa" w:w="3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① 溢价列表.xlsx（每日监控列表，2026-09 样例）</w:t>
            </w:r>
          </w:p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② 上交所公告／申请模板 5 份</w:t>
            </w:r>
          </w:p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③ 深交所公告／申请模板 4 份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问题数量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29 项（必答 15 项）</w:t>
            </w:r>
          </w:p>
        </w:tc>
      </w:tr>
    </w:tbl>
    <w:p>
      <w:pPr>
        <w:pStyle w:val="Heading1"/>
        <w:spacing w:after="120" w:before="280"/>
      </w:pPr>
      <w:r>
        <w:rPr>
          <w:rFonts w:ascii="SimHei" w:eastAsia="SimHei" w:hAnsi="SimHei"/>
          <w:b/>
          <w:bCs/>
          <w:sz w:val="28"/>
          <w:szCs w:val="28"/>
        </w:rPr>
        <w:t xml:space="preserve">一、需求概述</w:t>
      </w:r>
    </w:p>
    <w:p>
      <w:pPr>
        <w:spacing w:after="120" w:line="320"/>
      </w:pPr>
      <w:r>
        <w:rPr>
          <w:rFonts w:ascii="Times New Roman" w:eastAsia="SimSun" w:hAnsi="Times New Roman"/>
          <w:sz w:val="24"/>
          <w:szCs w:val="24"/>
        </w:rPr>
        <w:t xml:space="preserve">在既有场内产品溢价监控业务（每日溢价监控列表＋短信提醒）基础上改造：每日从溢价监控列表（溢价公告文件夹中的“溢价列表.xlsx”）自动生成溢价提示性公告，涉及停牌的同步生成停牌公告及相应停牌申请，一并发送给原该业务短信接收同事。</w:t>
      </w:r>
    </w:p>
    <w:p>
      <w:pPr>
        <w:spacing w:after="120" w:line="32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已明确两条前提：</w:t>
      </w:r>
    </w:p>
    <w:p>
      <w:pPr>
        <w:spacing w:after="120" w:line="320"/>
        <w:ind w:left="360"/>
      </w:pPr>
      <w:r>
        <w:rPr>
          <w:rFonts w:ascii="Times New Roman" w:eastAsia="SimSun" w:hAnsi="Times New Roman"/>
          <w:sz w:val="24"/>
          <w:szCs w:val="24"/>
        </w:rPr>
        <w:t xml:space="preserve">1．公告中的未知要素全部可从每日“溢价列表.xlsx”中提取，日期时间 T 取当日；</w:t>
      </w:r>
    </w:p>
    <w:p>
      <w:pPr>
        <w:spacing w:after="120" w:line="320"/>
        <w:ind w:left="360"/>
      </w:pPr>
      <w:r>
        <w:rPr>
          <w:rFonts w:ascii="Times New Roman" w:eastAsia="SimSun" w:hAnsi="Times New Roman"/>
          <w:sz w:val="24"/>
          <w:szCs w:val="24"/>
        </w:rPr>
        <w:t xml:space="preserve">2．模板中以红字标注的 T+1、T-1 等时序要求，生成公告净版时去除红字标注。</w:t>
      </w:r>
    </w:p>
    <w:p>
      <w:pPr>
        <w:pStyle w:val="Heading1"/>
        <w:spacing w:after="120" w:before="280"/>
      </w:pPr>
      <w:r>
        <w:rPr>
          <w:rFonts w:ascii="SimHei" w:eastAsia="SimHei" w:hAnsi="SimHei"/>
          <w:b/>
          <w:bCs/>
          <w:sz w:val="28"/>
          <w:szCs w:val="28"/>
        </w:rPr>
        <w:t xml:space="preserve">二、材料盘点</w:t>
      </w:r>
    </w:p>
    <w:p>
      <w:pPr>
        <w:pStyle w:val="Heading2"/>
        <w:spacing w:after="10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2.1　溢价列表.xlsx（每日监控列表）</w:t>
      </w:r>
    </w:p>
    <w:p>
      <w:pPr>
        <w:spacing w:after="120" w:line="320"/>
      </w:pPr>
      <w:r>
        <w:rPr>
          <w:rFonts w:ascii="Times New Roman" w:eastAsia="SimSun" w:hAnsi="Times New Roman"/>
          <w:sz w:val="24"/>
          <w:szCs w:val="24"/>
        </w:rPr>
        <w:t xml:space="preserve">样例含 27 只场内基金：上交所 12 只（11 只 ETF＋1 只 LOF），深交所 15 只（10 只 ETF＋5 只 LOF）。共 15 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列号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列名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序号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证券代码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如 510090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证券简称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全称型，如“建信上证50交易型开放式指数证券投资基金”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扩位简称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如“50ETF基金”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类型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ETF 或 LOF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基金上市地点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上海证券交易所 / 深圳证券交易所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午盘收盘价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仅上交所产品有值，深交所行为空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午盘IOPV（ETF）或最新净值（LOF）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同上；货币 ETF 此列为 0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午盘溢价率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午盘发送提示公告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决策标志列（样例为空）→ 上交所 2-2 午间公告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收盘价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收盘IOPV（ETF）或最新净值（LOF）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LOF 为“最新净值”，未注明净值对应日期（见 B2）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收盘溢价率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是否发送提示公告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决策标志列（样例为空）→ 深交所附件 1／2（上交所对应场景见 A2）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是否停牌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决策标志列（样例为空）→ 停牌公告＋停牌申请</w:t>
            </w:r>
          </w:p>
        </w:tc>
      </w:tr>
    </w:tbl>
    <w:p>
      <w:pPr>
        <w:spacing w:after="160" w:before="60"/>
      </w:pPr>
      <w:r>
        <w:rPr>
          <w:rFonts w:ascii="Times New Roman" w:eastAsia="SimSun" w:hAnsi="Times New Roman"/>
          <w:color w:val="595959"/>
          <w:sz w:val="21"/>
          <w:szCs w:val="21"/>
        </w:rPr>
        <w:t xml:space="preserve">注：样例中 27 只产品三个标志列均为空、无触发实例；货币 ETF（511660）IOPV 为 0、溢价率为空。</w:t>
      </w:r>
    </w:p>
    <w:p>
      <w:pPr>
        <w:pStyle w:val="Heading2"/>
        <w:spacing w:after="10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2.2　公告与申请模板（9 份）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900"/>
        <w:gridCol w:w="1700"/>
        <w:gridCol w:w="3296"/>
      </w:tblGrid>
      <w:tr>
        <w:trPr>
          <w:tblHeader/>
        </w:trP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模板文件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适用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拟对应触发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关键时序标注（红字）</w:t>
            </w:r>
          </w:p>
        </w:tc>
      </w:tr>
      <w:t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上交所 2-2 午间收盘溢价风险提示公告（ETF／LOF 各一）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ETF、LOF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J 列午盘发送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落款日期（T）；正文无数值占位</w:t>
            </w:r>
          </w:p>
        </w:tc>
      </w:tr>
      <w:t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上交所 2-3 溢价风险提示及停牌公告（ETF／LOF 各一）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ETF、LOF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O 列停牌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数据日（T）、停牌日（T+1）至 10:30 复牌；落款 ETF 版（T）、LOF 版（T+1）——两版不一致，见 B3</w:t>
            </w:r>
          </w:p>
        </w:tc>
      </w:tr>
      <w:t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上交所 紧急停牌申请（ETF／LOF 两联同文件）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ETF、LOF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O 列停牌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停牌日期（T+1）、经办时间（T）</w:t>
            </w:r>
          </w:p>
        </w:tc>
      </w:tr>
      <w:t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深交所 附件1／2 溢价风险提示公告（ETF／LOF 各一）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ETF、LOF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N 列发送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数据日（T 日）、警示段（T+1 日）；LOF 净值日（T-1 日或 T-2 日），见 B2</w:t>
            </w:r>
          </w:p>
        </w:tc>
      </w:tr>
      <w:t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深交所 附件3／4 溢价风险提示及停复牌公告（ETF／LOF 各一）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ETF、LOF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O 列停牌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停复牌时间“请根据实际填写”（红字），见 C4；LOF 净值日同上</w:t>
            </w:r>
          </w:p>
        </w:tc>
      </w:tr>
      <w:tr>
        <w:tc>
          <w:tcPr>
            <w:tcW w:type="dxa" w:w="3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深交所 临时停牌业务申请（.doc）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O 列停牌</w:t>
            </w:r>
          </w:p>
        </w:tc>
        <w:tc>
          <w:tcPr>
            <w:tcW w:type="dxa" w:w="3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停止业务时间（T+1）9:30 至 10:30；预勾“√临时停牌”“√其他原因：二级市场溢价率过高”</w:t>
            </w:r>
          </w:p>
        </w:tc>
      </w:tr>
    </w:tbl>
    <w:p>
      <w:pPr>
        <w:spacing w:after="160" w:before="60"/>
      </w:pPr>
      <w:r>
        <w:rPr>
          <w:rFonts w:ascii="Times New Roman" w:eastAsia="SimSun" w:hAnsi="Times New Roman"/>
          <w:color w:val="595959"/>
          <w:sz w:val="21"/>
          <w:szCs w:val="21"/>
        </w:rPr>
        <w:t xml:space="preserve">注：深交所无午间公告模板；上交所无“收盘提示公告（不含停牌）”模板（见 A2、A3）。</w:t>
      </w:r>
    </w:p>
    <w:p>
      <w:pPr>
        <w:pStyle w:val="Heading2"/>
        <w:spacing w:after="10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2.3　模板红字标注的三类内容</w:t>
      </w:r>
    </w:p>
    <w:p>
      <w:pPr>
        <w:spacing w:after="120" w:line="32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① 适用范围标注</w:t>
      </w:r>
      <w:r>
        <w:rPr>
          <w:rFonts w:ascii="Times New Roman" w:eastAsia="SimSun" w:hAnsi="Times New Roman"/>
          <w:sz w:val="24"/>
          <w:szCs w:val="24"/>
        </w:rPr>
        <w:t xml:space="preserve">：如“（适用ETF）”“（本模板适用于LOF产品）”，用于选择模板版本，净版中删除；</w:t>
      </w:r>
    </w:p>
    <w:p>
      <w:pPr>
        <w:spacing w:after="120" w:line="32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② 日期时序标注</w:t>
      </w:r>
      <w:r>
        <w:rPr>
          <w:rFonts w:ascii="Times New Roman" w:eastAsia="SimSun" w:hAnsi="Times New Roman"/>
          <w:sz w:val="24"/>
          <w:szCs w:val="24"/>
        </w:rPr>
        <w:t xml:space="preserve">：如“（T）”“（T+1）”“（T-1日或T-2日）”，标注占位日期与 T 的相对关系，净版中删除并将占位日期换算为实际日期；</w:t>
      </w:r>
    </w:p>
    <w:p>
      <w:pPr>
        <w:spacing w:after="120" w:line="32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③ 条件性说明标注</w:t>
      </w:r>
      <w:r>
        <w:rPr>
          <w:rFonts w:ascii="Times New Roman" w:eastAsia="SimSun" w:hAnsi="Times New Roman"/>
          <w:sz w:val="24"/>
          <w:szCs w:val="24"/>
        </w:rPr>
        <w:t xml:space="preserve">：如“（适用于商品基金，请填写基金跟踪的指数）”“（本段供参考，可根据实际修改）”“（请根据实际填写停复牌时间）”“（如因特殊原因基金暂停赎回，需删除本句）”，涉及逐产品判断与取舍，是第三组问题的来源。</w:t>
      </w:r>
    </w:p>
    <w:p>
      <w:pPr>
        <w:pStyle w:val="Heading1"/>
        <w:spacing w:after="120" w:before="280"/>
      </w:pPr>
      <w:r>
        <w:rPr>
          <w:rFonts w:ascii="SimHei" w:eastAsia="SimHei" w:hAnsi="SimHei"/>
          <w:b/>
          <w:bCs/>
          <w:sz w:val="28"/>
          <w:szCs w:val="28"/>
        </w:rPr>
        <w:t xml:space="preserve">三、业务澄清问题（共 29 项）</w:t>
      </w:r>
    </w:p>
    <w:p>
      <w:pPr>
        <w:spacing w:after="120" w:line="32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标记说明：</w:t>
      </w:r>
      <w:r>
        <w:rPr>
          <w:rFonts w:ascii="Times New Roman" w:eastAsia="SimSun" w:hAnsi="Times New Roman"/>
          <w:b/>
          <w:bCs/>
          <w:color w:val="C00000"/>
          <w:sz w:val="24"/>
          <w:szCs w:val="24"/>
        </w:rPr>
        <w:t xml:space="preserve">【必答】</w:t>
      </w:r>
      <w:r>
        <w:rPr>
          <w:rFonts w:ascii="Times New Roman" w:eastAsia="SimSun" w:hAnsi="Times New Roman"/>
          <w:sz w:val="24"/>
          <w:szCs w:val="24"/>
        </w:rPr>
        <w:t xml:space="preserve">影响方案设计，需优先明确；</w:t>
      </w:r>
      <w:r>
        <w:rPr>
          <w:rFonts w:ascii="Times New Roman" w:eastAsia="SimSun" w:hAnsi="Times New Roman"/>
          <w:b/>
          <w:bCs/>
          <w:color w:val="7F7F7F"/>
          <w:sz w:val="24"/>
          <w:szCs w:val="24"/>
        </w:rPr>
        <w:t xml:space="preserve">【可默认】</w:t>
      </w:r>
      <w:r>
        <w:rPr>
          <w:rFonts w:ascii="Times New Roman" w:eastAsia="SimSun" w:hAnsi="Times New Roman"/>
          <w:sz w:val="24"/>
          <w:szCs w:val="24"/>
        </w:rPr>
        <w:t xml:space="preserve">可先按“建议默认”执行，业务确认后如需调整再改。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第一组　触发与判定（A1–A5）</w:t>
      </w:r>
    </w:p>
    <w:p>
      <w:pPr>
        <w:spacing w:after="120" w:line="320"/>
        <w:ind w:left="220"/>
      </w:pPr>
      <w:r>
        <w:rPr>
          <w:rFonts w:ascii="Times New Roman" w:eastAsia="KaiTi" w:hAnsi="Times New Roman"/>
          <w:color w:val="404040"/>
          <w:sz w:val="21"/>
          <w:szCs w:val="21"/>
        </w:rPr>
        <w:t xml:space="preserve">澄清“看到什么条件才生成哪份公告”：监控列表末尾三列“午盘发送提示公告”“是否发送提示公告”“是否停牌”是生成的开关，但其填写规则与各交易所模板的对应关系尚不明确。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A1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三个决策标志列（午盘发送提示公告／是否发送提示公告／是否停牌）由谁、按什么规则填写？公告生成是否完全以这三列为准？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样例列表中三列均为空，无法判断是人工逐日判断后手工填写，还是按溢价率阈值自动判定。这直接决定系统是“读标志生成”还是“自算阈值生成”。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A．业务同事人工填写，系统只按标志生成、不校验溢价率；B．系统按阈值自动判定并生成（需提供各所、ETF／LOF 是否区分的阈值）；C．系统按阈值预填标志、人工确认后生成。若选 A，请明确标志的填写取值（“是／否”还是“√”）。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A2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上交所产品“收盘溢价达标但决定不停牌”时发布什么公告？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上交所仅有两套模板：午间收盘溢价风险提示公告（2-2）与溢价风险提示及停牌公告（2-3），没有独立的“收盘提示公告（不停牌）”模板；深交所有对应模板（附件 1／2）。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A．上交所收盘达标即停牌，不存在此场景；B．复用 2-2 模板并调整“午间收盘”表述；C．需另行提供上交所收盘提示公告模板。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A3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午间公告是否仅适用上交所产品？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列表中深交所 15 只产品午盘各列全空，且深交所无午间公告模板；上交所产品（含 LOF 501098）午盘数据齐全。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建议默认：午间公告仅适用上交所，“午盘发送提示公告”列仅对上交所行有效。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A4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货币 ETF（511660 建信现金添益）是否排除在公告生成范围外？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该产品 IOPV／净值为 0、溢价率为空，逻辑上不适用溢价监控口径。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建议默认：净值／IOPV 为空即不生成（等效排除货币 ETF）。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A5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“是否停牌”为“是”时，停牌公告与停牌申请是否必然同步生成、同步发送？同一产品同日可否既发提示公告又发停牌公告？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深交所“提示公告”（附件 1／2）与“提示及停复牌公告”（附件 3／4）是两套标题不同的模板；若同日同时触发，接收同事将收到同一产品的多份文件。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请确认：停牌时停牌公告＋停牌申请一并生成发送；提示公告与停牌公告互斥（停牌时只发停牌公告），还是并存。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第二组　日期与日历（B1–B4）</w:t>
      </w:r>
    </w:p>
    <w:p>
      <w:pPr>
        <w:spacing w:after="120" w:line="320"/>
        <w:ind w:left="220"/>
      </w:pPr>
      <w:r>
        <w:rPr>
          <w:rFonts w:ascii="Times New Roman" w:eastAsia="KaiTi" w:hAnsi="Times New Roman"/>
          <w:color w:val="404040"/>
          <w:sz w:val="21"/>
          <w:szCs w:val="21"/>
        </w:rPr>
        <w:t xml:space="preserve">已明确 T 取当日。模板红字标注的 T+1、T-1、T-2 换算为实际日期时，交易日历与口径需澄清。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B1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T+1 遇周末／法定节假日如何换算：自然日＋1 还是下一交易日？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停牌日期必然是下一交易日（如周五触发、周一停牌），但公告落款日期、警示段“若 T+1 日溢价幅度未有效回落”中的 T+1 是否同口径，需统一。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建议默认：涉及交易动作的日期（停牌日、复牌日、申请的停止业务时间）按下一交易日；落款日期按发布当日。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B2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LOF 公告中的净值日期（模板标注“T-1 日或 T-2 日”）如何确定？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列表仅提供“最新净值”数值，未提供该净值对应的日期；而上交所 2-3 LOF 版与深交所附件 2／4 均需写“截至XXXX年X月X日（T-1日或T-2日），本基金基金份额净值为XXX元”。境内 LOF 净值多为 T-1 日披露，QDII 类可能 T-2 日。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A．统一按 T-1；B．按产品净值实际披露日逐只判断；C．（建议）列表增加“净值日期”列，由监控同事每日填写。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B3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上交所 2-3 模板落款日期标注不一致：ETF 版为（T）、LOF 版为（T+1），以哪个为准？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同一业务流程的两个模板落款时点相互矛盾，疑似模板笔误；影响所有停牌公告的落款日期填写。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建议与信披惯例核对后统一（提示及停牌公告一般为 T 日盘后发布、落款 T 日）。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B4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收盘／停牌公告的发布时点与落款日期：T 日盘后（如当日 17:00 前）还是 T+1 日开盘前？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涉及接收同事的当日工作安排与系统发送时点设计。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建议默认：T 日盘后发送、落款 T 日（依 B3 结论统一调整）。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第三组　模板取数与净版规则（C1–C7）</w:t>
      </w:r>
    </w:p>
    <w:p>
      <w:pPr>
        <w:spacing w:after="120" w:line="320"/>
        <w:ind w:left="220"/>
      </w:pPr>
      <w:r>
        <w:rPr>
          <w:rFonts w:ascii="Times New Roman" w:eastAsia="KaiTi" w:hAnsi="Times New Roman"/>
          <w:color w:val="404040"/>
          <w:sz w:val="21"/>
          <w:szCs w:val="21"/>
        </w:rPr>
        <w:t xml:space="preserve">公告要素从列表取数的映射、条件性红字条款的去留、净版生成规则。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C1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公告中基金“简称”取哪一列：证券简称（全称型）还是扩位简称？整体占位符→列表列的映射请逐项确认（见 3.1 映射表）。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列表同时有“证券简称”（如“建信上证50交易型开放式指数证券投资基金”）与“扩位简称”（如“50ETF基金”）两列。上交所模板写“简称：XXX”，深交所模板写“场内简称：XXX”，两所场内行情实际显示的简称口径需确认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建议默认：标题与正文的基金名称取“证券简称”列，简称／场内简称统一取“扩位简称”列。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C2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商品基金条款的适用判断：哪些产品适用、跟踪指数名称从哪取？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深交所模板第 1 条“本基金跟踪XX指数（或XX合约）……”红字标注“适用于商品基金，请填写基金跟踪的指数”；列表“类型”列仅有 ETF／LOF，无法识别商品基金（如能源化工 ETF 159981 跟踪“易盛郑商所能源化工指数A收益率”）。且该条款仅深交所模板有，上交所商品基金（如有）是否需要？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A．维护商品基金清单及标准指数名称（主数据）；B．列表增加“跟踪指数”列；C．当前无适用产品，该条一律删除。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C3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标注“（本段供参考，可根据实际修改）”的段落（运作正常声明、风险提示段）生成时如何处理？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建议默认：原样保留，不做任何修改。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C4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停复牌时间的默认规则：深交所附件 3／4 红字“请根据实际填写停复牌时间”应填什么？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上交所 2-3 固定为“T+1 开市起至当日 10:30 停牌、10:30 复牌”；深交所停牌申请固定为“T+1 9:30 至 10:30”。深交所公告模板中停复牌时间却是占位符。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建议默认：T+1 日开市起停牌、当日 10:30 复牌（与申请及上交所口径一致）；复牌时刻固定 10:30，是否存在延长停牌／连续停牌场景需说明。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C5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“停牌期间本基金赎回业务照常办理（如因特殊原因基金暂停赎回，需删除本句）”一句的处理？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建议默认：默认保留；如遇暂停申赎特殊情况，由人工在生成后修改（或后续在列表增加标志列）。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C6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数值精度：按列表原值输出（收盘价 3 位小数、IOPV／净值 4 位、溢价率 2 位百分比），还是按模板占位位数统一补零（如 X.XXXX）？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建议默认：按列表原值直出，不补零、不重算溢价率。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C7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“去红字生成净版”的精确含义确认：删除全部红字文本（含其括号），占位符替换为实际值后统一黑色，其余黑字正文一字不动？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建议默认：是。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第四组　停牌申请文件（D1–D3）</w:t>
      </w:r>
    </w:p>
    <w:p>
      <w:pPr>
        <w:spacing w:after="120" w:line="320"/>
        <w:ind w:left="220"/>
      </w:pPr>
      <w:r>
        <w:rPr>
          <w:rFonts w:ascii="Times New Roman" w:eastAsia="KaiTi" w:hAnsi="Times New Roman"/>
          <w:color w:val="404040"/>
          <w:sz w:val="21"/>
          <w:szCs w:val="21"/>
        </w:rPr>
        <w:t xml:space="preserve">两所停牌申请均为预勾选的固定格式文件，其中要素是否恒定需确认。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D1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申请中的勾选项与经办人信息是否固定不变：停牌业务勾“√交易”、原因勾“√其他：二级市场溢价率过高”、上交所停牌时间勾“早间开盘至10:30”、深交所“T+1 9:30至10:30”、经办人“姚娜”及电话手机号？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两所申请模板均已预勾选上述内容；经办人及联系方式若人员变动需可配置，不能写死。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建议默认：勾选项固定；经办人姓名与联系方式做成可配置项（本次请提供当前有效值）。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D2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上交所《紧急停牌申请》内含 ETF、LOF 两联，生成时仅保留适用的一联，还是两联都保留？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建议默认：按产品类型仅保留对应一联。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D3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停牌申请的用途与去向：随公告一并发送原短信接收同事（内部流转留存），还是需提交交易所的正式文件？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申请文件抬头为交易所、属对外正式文件；若需提交交易所，将影响是否盖章、输出格式（PDF）与流转方式。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请明确接收方与文件性质，据此确定输出格式。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第五组　发送与流程（E1–E6）</w:t>
      </w:r>
    </w:p>
    <w:p>
      <w:pPr>
        <w:spacing w:after="120" w:line="320"/>
        <w:ind w:left="220"/>
      </w:pPr>
      <w:r>
        <w:rPr>
          <w:rFonts w:ascii="Times New Roman" w:eastAsia="KaiTi" w:hAnsi="Times New Roman"/>
          <w:color w:val="404040"/>
          <w:sz w:val="21"/>
          <w:szCs w:val="21"/>
        </w:rPr>
        <w:t xml:space="preserve">“发送给之前该业务短信接收同事”涉及的清单、渠道、时限与人工把关。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E1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原短信接收同事清单：姓名／手机号／邮箱由谁提供？后续人员变动由谁维护、走什么变更流程？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本需求将公告发送给“之前该业务短信接收同事”，该清单不在本次提供的材料中。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请提供清单并指定维护人。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E2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发送渠道：公告为 Word／PDF 文件，通过什么渠道发送——邮件（含附件）、企业微信等 IM、还是短信平台？原短信业务用的平台／接口是什么、能否复用？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建议默认：邮件附件发送正式文件，同步短信或 IM 简短提醒。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E3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发送时间窗：午间公告（如当日 13:00 前）、收盘／停牌公告（如当日 17:00 前）有无明确时限？错过时限如何处理？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请提供各环节时限及错过后的补救方式（补发／顺延／人工处理）。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E4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生成后是否需人工复核放行：系统“生成即自动发送”，还是“人工确认后发送”？谁复核、谁有放行权？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公告与停牌申请属对外信息披露类文件，错发影响大。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建议：全部文件人工确认后发送，至少停牌公告与停牌申请必须人工放行。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E5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多产品同日触发的批量处理：逐只生成独立文件后打包一封发送？文件命名规范与输出路径？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建议默认：逐只独立文件，命名“建信｛扩位简称｝｛公告类型｝_YYYYMMDD.docx”，同批一封邮件打包。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E6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同日重跑／重复发送以谁为准：后到覆盖还是拒绝重发？仅个别产品需重新生成时如何处理？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建议默认：整批重跑后到覆盖；重发须人工触发并留痕。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第六组　输入与边界（F1–F4）</w:t>
      </w:r>
    </w:p>
    <w:p>
      <w:pPr>
        <w:spacing w:after="120" w:line="320"/>
        <w:ind w:left="220"/>
      </w:pPr>
      <w:r>
        <w:rPr>
          <w:rFonts w:ascii="Times New Roman" w:eastAsia="KaiTi" w:hAnsi="Times New Roman"/>
          <w:color w:val="404040"/>
          <w:sz w:val="21"/>
          <w:szCs w:val="21"/>
        </w:rPr>
        <w:t xml:space="preserve">每日溢价列表的到达方式与异常场景。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F1　</w:t>
      </w:r>
      <w:r>
        <w:rPr>
          <w:rFonts w:ascii="Times New Roman" w:eastAsia="SimSun" w:hAnsi="Times New Roman"/>
          <w:b/>
          <w:bCs/>
          <w:color w:val="C00000"/>
          <w:sz w:val="21"/>
          <w:szCs w:val="21"/>
        </w:rPr>
        <w:t xml:space="preserve">【必答】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溢价列表.xlsx 每日如何到达：谁在何时生成并发送？放置路径与文件名是否固定（每日覆盖同名文件）？15 列结构是否稳定、列名若调整如何感知？</w:t>
      </w:r>
    </w:p>
    <w:p>
      <w:pPr>
        <w:spacing w:after="40" w:line="300"/>
        <w:ind w:left="360"/>
      </w:pPr>
      <w:r>
        <w:rPr>
          <w:rFonts w:ascii="Times New Roman" w:eastAsia="SimSun" w:hAnsi="Times New Roman"/>
          <w:b/>
          <w:bCs/>
          <w:color w:val="595959"/>
          <w:sz w:val="21"/>
          <w:szCs w:val="21"/>
        </w:rPr>
        <w:t xml:space="preserve">背景与依据：</w:t>
      </w:r>
      <w:r>
        <w:rPr>
          <w:rFonts w:ascii="Times New Roman" w:eastAsia="KaiTi" w:hAnsi="Times New Roman"/>
          <w:color w:val="595959"/>
          <w:sz w:val="21"/>
          <w:szCs w:val="21"/>
        </w:rPr>
        <w:t xml:space="preserve">公告全部要素取自该文件，其到达时点与格式稳定性决定每日流程与解析容错设计。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请提供生成时点（午盘后／收盘后各一次？）、固定路径与文件名规则。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F2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触发产品缺数（收盘价／净值／溢价率为空）时如何处理？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建议默认：跳过该产品并列出缺数清单随批提示，不阻塞其余产品。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F3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产品范围维护：当前 27 只是全量吗？新上市基金如何进入列表、退市清盘如何移除？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建议默认：以列表当日实际行数为准，进出由监控同事维护行。</w:t>
      </w:r>
    </w:p>
    <w:p>
      <w:pPr>
        <w:keepNext/>
        <w:spacing w:after="60" w:before="160"/>
      </w:pPr>
      <w:r>
        <w:rPr>
          <w:rFonts w:ascii="SimHei" w:eastAsia="SimHei" w:hAnsi="SimHei"/>
          <w:b/>
          <w:bCs/>
          <w:sz w:val="24"/>
          <w:szCs w:val="24"/>
        </w:rPr>
        <w:t xml:space="preserve">F4　</w:t>
      </w:r>
      <w:r>
        <w:rPr>
          <w:rFonts w:ascii="Times New Roman" w:eastAsia="SimSun" w:hAnsi="Times New Roman"/>
          <w:b/>
          <w:bCs/>
          <w:color w:val="7F7F7F"/>
          <w:sz w:val="21"/>
          <w:szCs w:val="21"/>
        </w:rPr>
        <w:t xml:space="preserve">【可默认】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系统触发方式：监听文件到达自动生成，还是人工在工具／页面点击生成？</w:t>
      </w:r>
    </w:p>
    <w:p>
      <w:pPr>
        <w:spacing w:after="100" w:line="300"/>
        <w:ind w:left="36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建议默认／选项：</w:t>
      </w:r>
      <w:r>
        <w:rPr>
          <w:rFonts w:ascii="Times New Roman" w:eastAsia="SimSun" w:hAnsi="Times New Roman"/>
          <w:sz w:val="21"/>
          <w:szCs w:val="21"/>
        </w:rPr>
        <w:t xml:space="preserve">建议默认：人工点击触发（配合 E4 人工放行）。</w:t>
      </w:r>
    </w:p>
    <w:p>
      <w:pPr>
        <w:pStyle w:val="Heading2"/>
        <w:spacing w:after="10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3.1　占位符 → 列表字段映射表（随 C1 一并确认）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26"/>
        <w:gridCol w:w="2400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公告占位符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拟取列表列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待确认点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XXX基金（标题及正文名称）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 列 证券简称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简称：XXX／场内简称：XXX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 列 扩位简称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C1：还是证券简称？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代码：XXX／基金代码：XXXXXX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 列 证券代码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收盘价为X.XXXX元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K 列 收盘价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C6：精度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收盘IOPV为X.XXXX元（ETF）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 列 收盘IOPV（ETF）或最新净值（LOF）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基金份额净值为X.XXXX元（LOF）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 列 同上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B2：净值日期缺列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溢价率达到X.XX%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M 列 收盘溢价率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停牌／复牌日期时间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由 T 换算（C4 默认 T+1 开市至 10:30）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B1、C4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跟踪XX指数（或XX合约）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列表无此列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C2：来源待定</w:t>
            </w:r>
          </w:p>
        </w:tc>
      </w:tr>
    </w:tbl>
    <w:p>
      <w:pPr>
        <w:pStyle w:val="Heading1"/>
        <w:spacing w:after="120" w:before="280"/>
      </w:pPr>
      <w:r>
        <w:rPr>
          <w:rFonts w:ascii="SimHei" w:eastAsia="SimHei" w:hAnsi="SimHei"/>
          <w:b/>
          <w:bCs/>
          <w:sz w:val="28"/>
          <w:szCs w:val="28"/>
        </w:rPr>
        <w:t xml:space="preserve">四、待确认事项汇总表（业务答复用）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400"/>
        <w:gridCol w:w="242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编号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问题摘要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eastAsia="SimHei" w:hAnsi="SimHei"/>
                <w:b/>
                <w:bCs/>
                <w:sz w:val="21"/>
                <w:szCs w:val="21"/>
              </w:rPr>
              <w:t xml:space="preserve">业务答复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三列决策标志的填写规则与生成依据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上交所收盘达标但不停牌时发什么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午间公告是否仅上交所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货币 ETF 是否排除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停牌时公告与申请是否同步、与提示公告互斥否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T+1 遇非交易日按自然日还是交易日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LOF 净值日期（T-1／T-2）如何确定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上交所 2-3 落款 ETF 版 T 与 LOF 版 T+1 不一致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收盘／停牌公告发布时点与落款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简称取证券简称还是扩位简称（映射表逐项确认）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商品基金条款适用识别与指数名称来源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“供参考可修改”段落的处理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停复牌时间默认规则（10:30 复牌是否固定）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“停牌期间赎回照常”句的保留规则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数值精度按列表原值还是补零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“去红字净版”含义确认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申请勾选项与经办人信息是否固定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上交所申请 ETF／LOF 两联取舍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停牌申请去向（内部留存 or 提交交易所）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接收同事清单来源与维护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发送渠道与原短信平台复用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发送时间窗与错过处理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是否人工复核放行及放行权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批量生成打包与文件命名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重跑／重发覆盖规则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必答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列表每日到达方式与时点、结构稳定性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触发产品缺数处理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产品范围进出维护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可默认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自动监听还是人工触发生成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SimHei" w:eastAsia="SimHei" w:hAnsi="SimHei"/>
          <w:b/>
          <w:bCs/>
          <w:sz w:val="28"/>
          <w:szCs w:val="28"/>
        </w:rPr>
        <w:t xml:space="preserve">五、回复方式</w:t>
      </w:r>
    </w:p>
    <w:p>
      <w:pPr>
        <w:spacing w:after="120" w:line="320"/>
      </w:pPr>
      <w:r>
        <w:rPr>
          <w:rFonts w:ascii="Times New Roman" w:eastAsia="SimSun" w:hAnsi="Times New Roman"/>
          <w:sz w:val="24"/>
          <w:szCs w:val="24"/>
        </w:rPr>
        <w:t xml:space="preserve">1．请业务同事在第四节汇总表“业务答复”列逐条回复，或直接在第三节各题的“建议默认／选项”后批注实际口径；</w:t>
      </w:r>
    </w:p>
    <w:p>
      <w:pPr>
        <w:spacing w:after="120" w:line="320"/>
      </w:pPr>
      <w:r>
        <w:rPr>
          <w:rFonts w:ascii="Times New Roman" w:eastAsia="SimSun" w:hAnsi="Times New Roman"/>
          <w:sz w:val="24"/>
          <w:szCs w:val="24"/>
        </w:rPr>
        <w:t xml:space="preserve">2．15 项【必答】影响方案设计，建议优先确认；14 项【可默认】若无异议，将按建议默认值执行；</w:t>
      </w:r>
    </w:p>
    <w:p>
      <w:pPr>
        <w:spacing w:after="120" w:line="320"/>
      </w:pPr>
      <w:r>
        <w:rPr>
          <w:rFonts w:ascii="Times New Roman" w:eastAsia="SimSun" w:hAnsi="Times New Roman"/>
          <w:sz w:val="24"/>
          <w:szCs w:val="24"/>
        </w:rPr>
        <w:t xml:space="preserve">3．回复后如有条件，请提供一份实际触发日的溢价列表样例（含已填写的三个标志列），用于联调验证取数与模板选择逻辑。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第 </w:t>
    </w:r>
    <w:r>
      <w:rPr>
        <w:rFonts w:ascii="Times New Roman" w:eastAsia="SimSu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场内产品溢价监控——公告自动生成　需求澄清问题清单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2026-09-21T08:34:09.983Z</dcterms:created>
  <dcterms:modified xsi:type="dcterms:W3CDTF">2026-09-21T08:34:09.984Z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