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微软雅黑" w:eastAsia="微软雅黑" w:hAnsi="微软雅黑"/>
          <w:b/>
          <w:bCs/>
          <w:sz w:val="36"/>
          <w:szCs w:val="36"/>
        </w:rPr>
        <w:t xml:space="preserve">《公开募集证券投资基金业绩比较基准操作细则》附件3 内容总结</w:t>
      </w:r>
    </w:p>
    <w:p>
      <w:pPr>
        <w:spacing w:after="80"/>
        <w:jc w:val="center"/>
      </w:pPr>
      <w:r>
        <w:rPr>
          <w:rFonts w:ascii="宋体" w:eastAsia="宋体" w:hAnsi="宋体"/>
          <w:color w:val="595959"/>
          <w:sz w:val="26"/>
          <w:szCs w:val="26"/>
        </w:rPr>
        <w:t xml:space="preserve">相关指标解释、基准收益率计算参考及基准示例</w:t>
      </w:r>
    </w:p>
    <w:p>
      <w:pPr>
        <w:pBdr>
          <w:bottom w:val="single" w:color="2E75B6" w:sz="6" w:space="4"/>
        </w:pBdr>
        <w:spacing w:after="240"/>
        <w:jc w:val="center"/>
      </w:pPr>
      <w:r>
        <w:rPr>
          <w:rFonts w:ascii="宋体" w:eastAsia="宋体" w:hAnsi="宋体"/>
          <w:color w:val="808080"/>
          <w:sz w:val="20"/>
          <w:szCs w:val="20"/>
        </w:rPr>
        <w:t xml:space="preserve">整理日期：2026-10-20 ｜ 来源：附件3 扫描版 PDF（OCR 识别）</w:t>
      </w:r>
    </w:p>
    <w:p>
      <w:pPr>
        <w:spacing w:after="120"/>
      </w:pPr>
      <w:r>
        <w:rPr>
          <w:rFonts w:ascii="宋体" w:eastAsia="宋体" w:hAnsi="宋体"/>
          <w:b/>
          <w:bCs/>
          <w:i w:val="false"/>
          <w:iCs w:val="false"/>
          <w:sz w:val="24"/>
          <w:szCs w:val="24"/>
        </w:rPr>
        <w:t xml:space="preserve">文件性质：本附件为操作细则的配套技术文件，共 18 页，分三部分：① 相关指标解释与计算公式；② 基准收益率计算方法；③ 各类型基金的基准示例。</w:t>
      </w:r>
    </w:p>
    <w:p>
      <w:pPr>
        <w:pStyle w:val="Heading1"/>
      </w:pPr>
      <w:r>
        <w:rPr>
          <w:rFonts w:ascii="微软雅黑" w:eastAsia="微软雅黑" w:hAnsi="微软雅黑"/>
        </w:rPr>
        <w:t xml:space="preserve">一、指标解释</w:t>
      </w:r>
    </w:p>
    <w:p>
      <w:pPr>
        <w:pStyle w:val="Heading2"/>
      </w:pPr>
      <w:r>
        <w:rPr>
          <w:rFonts w:ascii="微软雅黑" w:eastAsia="微软雅黑" w:hAnsi="微软雅黑"/>
        </w:rPr>
        <w:t xml:space="preserve">（一）指标分类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指标类别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指标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基金业绩表现类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信息比率、跟踪误差、超额收益、卡玛比率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权益资产类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股票配置偏离限额（仓位/行业/风格结构偏离）、基准成份券覆盖率、主动比率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债券资产类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久期中枢、信用风险暴露集中度（行业/区域/内外部评级）、含权资产仓位与结构、最大回撤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微软雅黑" w:eastAsia="微软雅黑" w:hAnsi="微软雅黑"/>
        </w:rPr>
        <w:t xml:space="preserve">（二）各指标定义与计算公式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1. 信息比率（IR）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衡量投资组合相对于基准指数的单位主动风险所对应的超额收益。作用：评估主动管理效能（越高表明同等主动风险下获取超额收益能力越强，可横向对比基金经理）；平衡收益与风险（动态跟踪策略表现，持续稳定或上升表明策略有效，趋势性下降需关注风险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IR = mean(Rp,t − Rb,t) / TE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IR_ann = IR × √N（日频 N=250，周频 N=52）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Rp,t 为组合日收益率，Rb,t 为基准日收益率，TE 为日跟踪误差。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2. 跟踪误差（TE）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基金收益率与基准收益率差异的标准差，反映组合偏离基准的波动幅度。作用：量化基准偏离风险（被动型基金低跟踪误差是核心目标；主动型基金需适度误差配合超额收益）；指导资产配置调整（误差扩大时可增加与基准相关性高的资产以降低偏离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TE = stdev(Rp,t − Rb,t)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TE_ann = TE × √N（日频 N=250）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stdev 为样本标准差：√(Σ(xi − x̄)² / (n−1))，x 为样本算术平均值。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3. 卡玛比率（Calmar）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年化收益率与历史最大回撤绝对值的比值，反映单位极端回撤风险所获得的收益补偿。作用：极端风险调整后的收益性价比评估；聚焦尾部风险（高收益但低卡玛比率表明收益以承担极高尾部风险为代价），与夏普比率互补（夏普衡量日常波动，卡玛聚焦极端回撤），需结合回撤修复天数等指标综合评估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Calmar_ann = 年化收益率 / |区间累计收益率最大回撤|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年化收益率 = (1 + R_period)^(N/n) − 1（n 为区间交易日天数，日频 N=250）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4. 股票配置偏离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基金股票资产实际配置仓位、行业或风格结构与基准中对应配置比例之间的差异。通过仓位偏离监控大类资产择时风险敞口，通过行业/风格偏离评估权益资产的细分偏离，防范过度偏离导致投资目标无法实现。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仓位偏离 = Wp − Wb（Wp＝股票市值/基金资产净值；Wb＝基准股票权重，组合要素基准取所有股票指数权重之和）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第 i 个行业偏离 = Wi − Bi（组合要素基准的 Bi 为各成份指数行业权重的加权平均，权重为基准原始构成比例）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风格偏离 = Σ(风险暴露差 × 权重差)（多因子模型下按个股权重差与 z-score 暴露加总；或按投资风格分类模型比较权重暴露之差）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更关注股票资产内部结构的基金可采用归一化权重口径（除以股票资产市值而非资产净值）。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5. 基准成份券覆盖率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组合持有的基准指数成份券市值占组合内同类资产总市值的比例，反映对基准构成的跟踪纯度。作用：监测指数复制纯度（被动型越接近 100% 复制精度越高）；监测投资与基准差异（主动型覆盖率低表明显著超配基准外资产，需结合投资目标评估是否构成非预期的风格漂移）。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基准成份券覆盖率 = ΣXi / X（Xi 为组合持有的基准成份券市值，X 为该类资产总市值）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6. 主动比率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衡量基金投资组合与基准指数的偏离程度，反映通过选股、择时、行业配置等主动管理对基准的偏离幅度。作用：区分主动与被动投资（被动型趋近于 0）；评估主动管理激进程度（越高则超额收益潜力与跟踪误差风险并存）。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主动比率 = (1/2) × Σ|wi − bi|（wi 为基金第 i 只持仓权重，bi 为基准对应成份股权重，n 为两者并集的股票数量）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7. 久期中枢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产品阶段性久期范围，通过组合久期反映——单券久期与持仓市值乘积同组合净资产之比，是债券组合利率风险的综合度量。作用：管理利率风险敞口；作为主动调控工具（预期利率上升缩短久期以降回撤，预期下降拉长久期以增厚收益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组合久期 = Σ Di × Wi（Di 为单券久期，Wi 为单券市值占组合净资产权重）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单券久期优先使用第三方估值推荐数据，管理人认为不合理可采用内部研究评估数据；存款等其他资产久期设为 0；单券市值采用基金估值表估值。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8. 信用风险暴露集中度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分析持仓债券信用风险分布，通过行业、区域、内外部评级等维度监测持仓信用债风险暴露分布，防止与基金主题、基准发生重大偏离。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（定性监测指标，无统一公式）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信用评级可采用市场认可度高的外部第三方评级、隐含评级或内部评级，推荐采用内部或隐含评级。</w:t>
      </w:r>
    </w:p>
    <w:p>
      <w:pPr>
        <w:spacing w:after="100" w:before="200"/>
      </w:pPr>
      <w:r>
        <w:rPr>
          <w:rFonts w:ascii="微软雅黑" w:eastAsia="微软雅黑" w:hAnsi="微软雅黑"/>
          <w:b/>
          <w:bCs/>
          <w:sz w:val="26"/>
          <w:szCs w:val="26"/>
        </w:rPr>
        <w:t xml:space="preserve">9. 最大回撤（MDD）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投资组合在一段历史区间内发生过的最大亏损，即投资者在该区间的最大潜在损失。作用：衡量极端风险承受力（比波动率更贴近实际体验）；辅助策略优化（设置阈值建立止损机制）；投资者承受力匹配（提供直观的风险锚点）。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复权单位净值：Pt = Pt−1 × (1 + rt)</w:t>
      </w:r>
    </w:p>
    <w:p>
      <w:pPr>
        <w:spacing w:after="100"/>
      </w:pPr>
      <w:r>
        <w:rPr>
          <w:rFonts w:ascii="宋体" w:eastAsia="宋体" w:hAnsi="宋体"/>
          <w:b/>
          <w:bCs/>
          <w:color w:val="1F4E79"/>
          <w:sz w:val="22"/>
          <w:szCs w:val="22"/>
        </w:rPr>
        <w:t xml:space="preserve">MDD = max[(Pi − Pj) / Pi]（Pi 为峰值，Pj 为其后谷值，j &gt; i）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须基于复权单位净值计算。</w:t>
      </w:r>
    </w:p>
    <w:p>
      <w:pPr>
        <w:pStyle w:val="Heading1"/>
      </w:pPr>
      <w:r>
        <w:rPr>
          <w:rFonts w:ascii="微软雅黑" w:eastAsia="微软雅黑" w:hAnsi="微软雅黑"/>
        </w:rPr>
        <w:t xml:space="preserve">二、基准收益率计算方法</w:t>
      </w:r>
    </w:p>
    <w:p>
      <w:pPr>
        <w:pStyle w:val="Heading2"/>
      </w:pPr>
      <w:r>
        <w:rPr>
          <w:rFonts w:ascii="微软雅黑" w:eastAsia="微软雅黑" w:hAnsi="微软雅黑"/>
        </w:rPr>
        <w:t xml:space="preserve">（一）总体原则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计算基础与时间加权：业绩比较基准收益率的计算应当以每日收益率为基础，以时间加权为计算原则。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组合要素基准（由两个或两个以上指数、利率、合约价格等构成）：应当先分别计算各指数、利率、合约价格等的每日收益率，再按照预设权重比例计算当日组合要素基准的日收益率，并通过每日连乘的方式动态再平衡，确保基准要素结构始终符合基金合同的要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境外指数：涉及境外指数的业绩比较基准，通常应以基金合同规定的估值日为基础计算，并采用该基金的估值汇率进行折算，以满足基金业绩与业绩比较基准在一致性和可比性方面的要求。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精度与截位：计算过程中日收益率统一四舍五入保留 8 位小数；计算结果非货币基金四舍五入保留 4 位小数、货币基金四舍五入保留 6 位小数；基准点位（包括指数行情、合约价格、汇率等各类原始数据）采用指数公司或其他发布机构公布的原始点位数据，不做截位处理。</w:t>
      </w:r>
    </w:p>
    <w:p>
      <w:pPr>
        <w:pStyle w:val="Heading2"/>
      </w:pPr>
      <w:r>
        <w:rPr>
          <w:rFonts w:ascii="微软雅黑" w:eastAsia="微软雅黑" w:hAnsi="微软雅黑"/>
        </w:rPr>
        <w:t xml:space="preserve">（二）各类基准计算规则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宋体" w:eastAsia="宋体" w:hAnsi="宋体"/>
          <w:b w:val="false"/>
          <w:bCs w:val="false"/>
          <w:sz w:val="24"/>
          <w:szCs w:val="24"/>
        </w:rPr>
        <w:t xml:space="preserve">各类业绩比较基准的计算规则如下（区间收益除固定利率类按逐日加总外，其余均按日连乘）：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53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基准类型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计算日期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计算公式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固定利率类（含固定利率+加点类）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自然日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1）日收益率 R(t) =（固定利率 + 加点（如有））/ 当年实际总天数</w:t>
            </w:r>
          </w:p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2）区间收益 = ΣR(t)（逐日算术加总）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单一指数基准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沪深北交易所交易日，含季末年末（注1）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优先采用指数公司对外公布的日收益率；若无公布，按以下步骤计算（下同）：</w:t>
            </w:r>
          </w:p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1）提取指数当日点位 C(t) 和前一日点位 C(t−1)</w:t>
            </w:r>
          </w:p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2）日收益率 R(t) = C(t)/C(t−1) − 1</w:t>
            </w:r>
          </w:p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3）区间收益按日连乘 = (1+R(1))×(1+R(2))×…×(1+R(t)) − 1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多个指数合成基准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沪深北交易所交易日，含季末年末（注1）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基准 = 指数A×权重A + 指数B×权重B</w:t>
            </w:r>
          </w:p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1）分别提取指数 A 和指数 B 的当日点位 Ca(t)、Cb(t)</w:t>
            </w:r>
          </w:p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2）分别计算当日收益率 Ra(t) = Ca(t)/Ca(t−1) − 1，Rb(t) = Cb(t)/Cb(t−1) − 1</w:t>
            </w:r>
          </w:p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3）计算合成指数的当日收益率 R(t) = 权重A×Ra(t) + 权重B×Rb(t)</w:t>
            </w:r>
          </w:p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4）区间收益按日连乘 = (1+R(1))×(1+R(2))×…×(1+R(n)) − 1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指数与固定利率合成基准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沪深北交易所交易日，含季末年末（注1）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1）指数部分：提取指数当日点位 Ca(t) 和前一日点位 Ca(t−1)，日收益率 Ra(t) = Ca(t)/Ca(t−1) − 1</w:t>
            </w:r>
          </w:p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2）固定利率部分：日收益率 Rb(t) = 固定利率/当年实际天数（节假日后第一个工作日包含节假日收益）</w:t>
            </w:r>
          </w:p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3）计算合成日收益率 R(t) = 权重A×Ra(t) + 权重B×Rb(t)</w:t>
            </w:r>
          </w:p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4）区间收益按日连乘 = (1+R(1))×(1+R(2))×…×(1+R(t)) − 1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汇率折算基准（含外币指数）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沪深北交易所交易日，含季末年末（注1）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基准 = 指数A×权重A + 指数B×权重B，其中指数 B 为外币指数</w:t>
            </w:r>
          </w:p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1）提取指数 A 当日点位 Ca(t)，日收益率 Ra(t) = Ca(t)/Ca(t−1) − 1</w:t>
            </w:r>
          </w:p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2）提取指数 B 当日原币点位 Cb(t)，用估值汇率 H(t) 折算，日收益率 Rb(t) = Cb(t)×H(t)/(Cb(t−1)×H(t−1)) − 1</w:t>
            </w:r>
          </w:p>
          <w:p>
            <w:pPr>
              <w:spacing w:after="40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3）计算合成日收益率 R(t) = 权重A×Ra(t) + 权重B×Rb(t)</w:t>
            </w:r>
          </w:p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4）区间收益按日连乘 = (1+R(1))×(1+R(2))×…×(1+R(t)) − 1</w:t>
            </w:r>
          </w:p>
        </w:tc>
      </w:tr>
    </w:tbl>
    <w:p>
      <w:pPr>
        <w:spacing w:after="40"/>
      </w:pPr>
      <w:r>
        <w:rPr>
          <w:rFonts w:ascii="宋体" w:eastAsia="宋体" w:hAnsi="宋体"/>
          <w:b w:val="false"/>
          <w:bCs w:val="false"/>
          <w:sz w:val="18"/>
          <w:szCs w:val="18"/>
        </w:rPr>
        <w:t xml:space="preserve">注1：季末年末节假日处理——选取基准最近一个指数披露日的收盘点位（下同）。</w:t>
      </w:r>
    </w:p>
    <w:p>
      <w:pPr>
        <w:spacing w:after="40"/>
      </w:pPr>
      <w:r>
        <w:rPr>
          <w:rFonts w:ascii="宋体" w:eastAsia="宋体" w:hAnsi="宋体"/>
          <w:b w:val="false"/>
          <w:bCs w:val="false"/>
          <w:sz w:val="18"/>
          <w:szCs w:val="18"/>
        </w:rPr>
        <w:t xml:space="preserve">注2：合约价格要素——对于包含合约价格基准要素的，无论其采用何种价格类型，均应当将合约价格视为与指数等同的基准要素，依据基金合同约定选取相应的价格数据，并按照指数基准要素的计算方法执行。</w:t>
      </w:r>
    </w:p>
    <w:p>
      <w:pPr>
        <w:spacing w:after="120"/>
      </w:pPr>
      <w:r>
        <w:rPr>
          <w:rFonts w:ascii="宋体" w:eastAsia="宋体" w:hAnsi="宋体"/>
          <w:b w:val="false"/>
          <w:bCs w:val="false"/>
          <w:sz w:val="18"/>
          <w:szCs w:val="18"/>
        </w:rPr>
        <w:t xml:space="preserve">注3：汇率选择——含外币指数的基准中，汇率一般按基金合同约定执行，原则上采用估值汇率折算。</w:t>
      </w:r>
    </w:p>
    <w:p>
      <w:pPr>
        <w:pStyle w:val="Heading1"/>
      </w:pPr>
      <w:r>
        <w:rPr>
          <w:rFonts w:ascii="微软雅黑" w:eastAsia="微软雅黑" w:hAnsi="微软雅黑"/>
        </w:rPr>
        <w:t xml:space="preserve">三、基准示例（按基金类型）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基金类型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典型基准构成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 xml:space="preserve">关键规则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股票型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股票指数×95% + 活期存款基准利率×5%；可含中证港股通综合指数（人民币/港元）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要素权重原则上为整数；人民币/港元计价指数须在官方全称后标注币种；存款须写“基准利率”以区分人银与市场化利率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混合型（除对冲策略）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沪深300 + 恒生指数 + 中债综合财富；或以中债指数为主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非人民币指数需汇率折算但基准表述中不单独强调，由管理人在法律文件说明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债券型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纯债：债券指数（标明久期、总值/财富等）或 + 一年期定期存款基准利率；含权债基：+ 中证可转债指数 / 沪深300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定期存款一般指“整存整取”；对冲策略混合基金、摊余成本法债券基金使用存款利率作为基准（脚注）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FOF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中证偏股型/债券型基金指数组合；或股债指数；可加商品（上金所 AU99.99 现货合约）或境外指数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每大类资产原则上只选 1 个要素；单一要素权重原则上不低于 3%；某大类资产占比超 10% 且确有必要可用两个要素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QDII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纳斯达克100、MSCI 全球、摩根大通全球债券、彭博全球综合债、标普高盛原油商品指数等 + 人民币活期存款基准利率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表述参考对应非 QDII 类型；境外英文指数须同时写中文翻译全称和英文官方全称；须标明存款币种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货币型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七天通知存款基准利率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单一要素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宋体" w:eastAsia="宋体" w:hAnsi="宋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中债指数备注：中债指数分净价、全价、财富及总值和不同久期，中债官网暂无子指数全称，基准中须按细则展示要求标明久期（如有）、不同利息或分红处理方式。</w:t>
      </w:r>
    </w:p>
    <w:p>
      <w:pPr>
        <w:pBdr>
          <w:top w:val="single" w:color="BFBFBF" w:sz="4" w:space="4"/>
        </w:pBdr>
        <w:spacing w:before="300"/>
      </w:pPr>
      <w:r>
        <w:rPr>
          <w:rFonts w:ascii="宋体" w:eastAsia="宋体" w:hAnsi="宋体"/>
          <w:color w:val="808080"/>
          <w:sz w:val="20"/>
          <w:szCs w:val="20"/>
        </w:rPr>
        <w:t xml:space="preserve">说明：本文档依据附件3扫描版 PDF 经 OCR 识别整理，个别公式符号以原文为准。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color w:val="808080"/>
        <w:sz w:val="18"/>
        <w:szCs w:val="18"/>
      </w:rPr>
      <w:t xml:space="preserve">第 </w:t>
    </w:r>
    <w:r>
      <w:rPr>
        <w:rFonts w:ascii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eastAsia="宋体" w:hAnsi="宋体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微软雅黑" w:eastAsia="微软雅黑" w:hAnsi="微软雅黑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2026-10-20T15:51:45.968Z</dcterms:created>
  <dcterms:modified xsi:type="dcterms:W3CDTF">2026-10-20T15:51:45.971Z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