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eastAsia="Microsoft YaHei" w:hAnsi="Calibri"/>
          <w:b/>
          <w:bCs/>
          <w:sz w:val="32"/>
          <w:szCs w:val="32"/>
        </w:rPr>
        <w:t xml:space="preserve">业绩比较基准项目</w:t>
      </w:r>
    </w:p>
    <w:p>
      <w:pPr>
        <w:spacing w:after="80"/>
        <w:jc w:val="center"/>
      </w:pPr>
      <w:r>
        <w:rPr>
          <w:rFonts w:ascii="Calibri" w:eastAsia="Microsoft YaHei" w:hAnsi="Calibri"/>
          <w:b/>
          <w:bCs/>
          <w:sz w:val="28"/>
          <w:szCs w:val="28"/>
        </w:rPr>
        <w:t xml:space="preserve">业务澄清问题清单（合并定稿版）</w:t>
      </w:r>
    </w:p>
    <w:p>
      <w:pPr>
        <w:pBdr>
          <w:bottom w:val="single" w:color="2E75B6" w:sz="6" w:space="4"/>
        </w:pBdr>
        <w:spacing w:after="200"/>
        <w:jc w:val="center"/>
      </w:pPr>
      <w:r>
        <w:rPr>
          <w:rFonts w:ascii="Calibri" w:eastAsia="SimSun" w:hAnsi="Calibri"/>
          <w:color w:val="595959"/>
          <w:sz w:val="18"/>
          <w:szCs w:val="18"/>
        </w:rPr>
        <w:t xml:space="preserve">编制日期：2026-10-14　｜　依据：v1.0 清单＋v1.1 增补清单＋业务方当场作答（含二次补答）　｜　状态：9 类 47 题处置完毕，开口项收敛为 C1–C6</w:t>
      </w:r>
    </w:p>
    <w:p>
      <w:pPr>
        <w:pStyle w:val="Heading1"/>
        <w:spacing w:after="160" w:before="240"/>
      </w:pPr>
      <w:r>
        <w:rPr>
          <w:rFonts w:ascii="Calibri" w:eastAsia="Microsoft YaHei" w:hAnsi="Calibri"/>
          <w:b/>
          <w:bCs/>
          <w:color w:val="000000"/>
          <w:sz w:val="28"/>
          <w:szCs w:val="28"/>
        </w:rPr>
        <w:t xml:space="preserve">一、编制说明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SimSun" w:hAnsi="Calibri"/>
          <w:sz w:val="21"/>
          <w:szCs w:val="21"/>
        </w:rPr>
        <w:t xml:space="preserve">业务方于 2026-10-14 明确本项目三条业务目标：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SimSun" w:hAnsi="Calibri"/>
          <w:b/>
          <w:bCs/>
          <w:sz w:val="21"/>
          <w:szCs w:val="21"/>
        </w:rPr>
        <w:t xml:space="preserve">目标一</w:t>
      </w:r>
      <w:r>
        <w:rPr>
          <w:rFonts w:ascii="Calibri" w:eastAsia="SimSun" w:hAnsi="Calibri"/>
          <w:sz w:val="21"/>
          <w:szCs w:val="21"/>
        </w:rPr>
        <w:t xml:space="preserve">：计算业绩比较基准收益率；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SimSun" w:hAnsi="Calibri"/>
          <w:b/>
          <w:bCs/>
          <w:sz w:val="21"/>
          <w:szCs w:val="21"/>
        </w:rPr>
        <w:t xml:space="preserve">目标二</w:t>
      </w:r>
      <w:r>
        <w:rPr>
          <w:rFonts w:ascii="Calibri" w:eastAsia="SimSun" w:hAnsi="Calibri"/>
          <w:sz w:val="21"/>
          <w:szCs w:val="21"/>
        </w:rPr>
        <w:t xml:space="preserve">：从估值系统获取基金净值增长率；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SimSun" w:hAnsi="Calibri"/>
          <w:b/>
          <w:bCs/>
          <w:sz w:val="21"/>
          <w:szCs w:val="21"/>
        </w:rPr>
        <w:t xml:space="preserve">目标三</w:t>
      </w:r>
      <w:r>
        <w:rPr>
          <w:rFonts w:ascii="Calibri" w:eastAsia="SimSun" w:hAnsi="Calibri"/>
          <w:sz w:val="21"/>
          <w:szCs w:val="21"/>
        </w:rPr>
        <w:t xml:space="preserve">：将业绩比较基准收益率及基金净值增长率推送给官网。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SimSun" w:hAnsi="Calibri"/>
          <w:sz w:val="21"/>
          <w:szCs w:val="21"/>
        </w:rPr>
        <w:t xml:space="preserve">同日业务方对 v1.0 清单（Q1–Q31）与 v1.1 增补清单（Q32–Q47）逐题当场作答（含 Q7/Q13/Q27 二次补答）；本合并版为唯一归档定稿，两份分版清单原件留档不再单独维护。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SimSun" w:hAnsi="Calibri"/>
          <w:b/>
          <w:bCs/>
          <w:sz w:val="21"/>
          <w:szCs w:val="21"/>
        </w:rPr>
        <w:t xml:space="preserve">范围修订（以本轮回复为准）</w:t>
      </w:r>
      <w:r>
        <w:rPr>
          <w:rFonts w:ascii="Calibri" w:eastAsia="SimSun" w:hAnsi="Calibri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SimSun" w:hAnsi="Calibri"/>
          <w:sz w:val="21"/>
          <w:szCs w:val="21"/>
        </w:rPr>
        <w:t xml:space="preserve">本期推送下游＝</w:t>
      </w:r>
      <w:r>
        <w:rPr>
          <w:rFonts w:ascii="Calibri" w:eastAsia="SimSun" w:hAnsi="Calibri"/>
          <w:b/>
          <w:bCs/>
          <w:sz w:val="21"/>
          <w:szCs w:val="21"/>
        </w:rPr>
        <w:t xml:space="preserve">官网＋APP</w:t>
      </w:r>
      <w:r>
        <w:rPr>
          <w:rFonts w:ascii="Calibri" w:eastAsia="SimSun" w:hAnsi="Calibri"/>
          <w:sz w:val="21"/>
          <w:szCs w:val="21"/>
        </w:rPr>
        <w:t xml:space="preserve">（目标三口述“官网”，Q33 回复提及“官网、APP”，追问确认两端均在本期；微信不在本期）；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SimSun" w:hAnsi="Calibri"/>
          <w:sz w:val="21"/>
          <w:szCs w:val="21"/>
        </w:rPr>
        <w:t xml:space="preserve">推送粒度＝</w:t>
      </w:r>
      <w:r>
        <w:rPr>
          <w:rFonts w:ascii="Calibri" w:eastAsia="SimSun" w:hAnsi="Calibri"/>
          <w:b/>
          <w:bCs/>
          <w:sz w:val="21"/>
          <w:szCs w:val="21"/>
        </w:rPr>
        <w:t xml:space="preserve">①③日频序列（曲线数据）</w:t>
      </w:r>
      <w:r>
        <w:rPr>
          <w:rFonts w:ascii="Calibri" w:eastAsia="SimSun" w:hAnsi="Calibri"/>
          <w:sz w:val="21"/>
          <w:szCs w:val="21"/>
        </w:rPr>
        <w:t xml:space="preserve">，不推送 10 区间汇总指标、波动率②④、差值⑤⑥，不附基准构成文案；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SimSun" w:hAnsi="Calibri"/>
          <w:sz w:val="21"/>
          <w:szCs w:val="21"/>
        </w:rPr>
        <w:t xml:space="preserve">产品范围＝</w:t>
      </w:r>
      <w:r>
        <w:rPr>
          <w:rFonts w:ascii="Calibri" w:eastAsia="SimSun" w:hAnsi="Calibri"/>
          <w:b/>
          <w:bCs/>
          <w:sz w:val="21"/>
          <w:szCs w:val="21"/>
        </w:rPr>
        <w:t xml:space="preserve">全部产品（含货币基金、REITs）</w:t>
      </w:r>
      <w:r>
        <w:rPr>
          <w:rFonts w:ascii="Calibri" w:eastAsia="SimSun" w:hAnsi="Calibri"/>
          <w:sz w:val="21"/>
          <w:szCs w:val="21"/>
        </w:rPr>
        <w:t xml:space="preserve">；无业绩比较基准的产品仅推①，③侧自然不适用。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SimSun" w:hAnsi="Calibri"/>
          <w:b/>
          <w:bCs/>
          <w:sz w:val="21"/>
          <w:szCs w:val="21"/>
        </w:rPr>
        <w:t xml:space="preserve">本期系统职责边界</w:t>
      </w:r>
      <w:r>
        <w:rPr>
          <w:rFonts w:ascii="Calibri" w:eastAsia="SimSun" w:hAnsi="Calibri"/>
          <w:sz w:val="21"/>
          <w:szCs w:val="21"/>
        </w:rPr>
        <w:t xml:space="preserve">：①基金净值增长率以估值系统数据为准、本系统</w:t>
      </w:r>
      <w:r>
        <w:rPr>
          <w:rFonts w:ascii="Calibri" w:eastAsia="SimSun" w:hAnsi="Calibri"/>
          <w:b/>
          <w:bCs/>
          <w:sz w:val="21"/>
          <w:szCs w:val="21"/>
        </w:rPr>
        <w:t xml:space="preserve">透传不重算</w:t>
      </w:r>
      <w:r>
        <w:rPr>
          <w:rFonts w:ascii="Calibri" w:eastAsia="SimSun" w:hAnsi="Calibri"/>
          <w:sz w:val="21"/>
          <w:szCs w:val="21"/>
        </w:rPr>
        <w:t xml:space="preserve">（基金侧分红/折算口径责任转移至估值系统）；③基准收益率由本系统计算（口径基线＝VBA 解读文档，区间汇总能力保留但本期不推送）；</w:t>
      </w:r>
      <w:r>
        <w:rPr>
          <w:rFonts w:ascii="Calibri" w:eastAsia="SimSun" w:hAnsi="Calibri"/>
          <w:b/>
          <w:bCs/>
          <w:sz w:val="21"/>
          <w:szCs w:val="21"/>
        </w:rPr>
        <w:t xml:space="preserve">不设新老并行验证</w:t>
      </w:r>
      <w:r>
        <w:rPr>
          <w:rFonts w:ascii="Calibri" w:eastAsia="SimSun" w:hAnsi="Calibri"/>
          <w:sz w:val="21"/>
          <w:szCs w:val="21"/>
        </w:rPr>
        <w:t xml:space="preserve">，以测试验证为准；VBA 是否下线不在本项目关注范围。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SimSun" w:hAnsi="Calibri"/>
          <w:b/>
          <w:bCs/>
          <w:sz w:val="21"/>
          <w:szCs w:val="21"/>
        </w:rPr>
        <w:t xml:space="preserve">与推荐方案不一致的关键决策</w:t>
      </w:r>
      <w:r>
        <w:rPr>
          <w:rFonts w:ascii="Calibri" w:eastAsia="SimSun" w:hAnsi="Calibri"/>
          <w:sz w:val="21"/>
          <w:szCs w:val="21"/>
        </w:rPr>
        <w:t xml:space="preserve">（设计阶段须按此执行）：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SimSun" w:hAnsi="Calibri"/>
          <w:b/>
          <w:bCs/>
          <w:sz w:val="21"/>
          <w:szCs w:val="21"/>
        </w:rPr>
        <w:t xml:space="preserve">Q3</w:t>
      </w:r>
      <w:r>
        <w:rPr>
          <w:rFonts w:ascii="Calibri" w:eastAsia="SimSun" w:hAnsi="Calibri"/>
          <w:sz w:val="21"/>
          <w:szCs w:val="21"/>
        </w:rPr>
        <w:t xml:space="preserve">：基准变更后</w:t>
      </w:r>
      <w:r>
        <w:rPr>
          <w:rFonts w:ascii="Calibri" w:eastAsia="SimSun" w:hAnsi="Calibri"/>
          <w:b/>
          <w:bCs/>
          <w:sz w:val="21"/>
          <w:szCs w:val="21"/>
        </w:rPr>
        <w:t xml:space="preserve">历史报告要追溯重算</w:t>
      </w:r>
      <w:r>
        <w:rPr>
          <w:rFonts w:ascii="Calibri" w:eastAsia="SimSun" w:hAnsi="Calibri"/>
          <w:sz w:val="21"/>
          <w:szCs w:val="21"/>
        </w:rPr>
        <w:t xml:space="preserve"> → 需配置版本化＋级联重算机制；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SimSun" w:hAnsi="Calibri"/>
          <w:b/>
          <w:bCs/>
          <w:sz w:val="21"/>
          <w:szCs w:val="21"/>
        </w:rPr>
        <w:t xml:space="preserve">Q16</w:t>
      </w:r>
      <w:r>
        <w:rPr>
          <w:rFonts w:ascii="Calibri" w:eastAsia="SimSun" w:hAnsi="Calibri"/>
          <w:sz w:val="21"/>
          <w:szCs w:val="21"/>
        </w:rPr>
        <w:t xml:space="preserve">：利率类基准天数基准</w:t>
      </w:r>
      <w:r>
        <w:rPr>
          <w:rFonts w:ascii="Calibri" w:eastAsia="SimSun" w:hAnsi="Calibri"/>
          <w:b/>
          <w:bCs/>
          <w:sz w:val="21"/>
          <w:szCs w:val="21"/>
        </w:rPr>
        <w:t xml:space="preserve">分时点切换</w:t>
      </w:r>
      <w:r>
        <w:rPr>
          <w:rFonts w:ascii="Calibri" w:eastAsia="SimSun" w:hAnsi="Calibri"/>
          <w:sz w:val="21"/>
          <w:szCs w:val="21"/>
        </w:rPr>
        <w:t xml:space="preserve">——2026-07-01 前（至 06-30）ACT/360、2026-07-01 起（含当日）ACT/365；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SimSun" w:hAnsi="Calibri"/>
          <w:b/>
          <w:bCs/>
          <w:sz w:val="21"/>
          <w:szCs w:val="21"/>
        </w:rPr>
        <w:t xml:space="preserve">Q22</w:t>
      </w:r>
      <w:r>
        <w:rPr>
          <w:rFonts w:ascii="Calibri" w:eastAsia="SimSun" w:hAnsi="Calibri"/>
          <w:sz w:val="21"/>
          <w:szCs w:val="21"/>
        </w:rPr>
        <w:t xml:space="preserve">：中间结果按 </w:t>
      </w:r>
      <w:r>
        <w:rPr>
          <w:rFonts w:ascii="Calibri" w:eastAsia="SimSun" w:hAnsi="Calibri"/>
          <w:b/>
          <w:bCs/>
          <w:sz w:val="21"/>
          <w:szCs w:val="21"/>
        </w:rPr>
        <w:t xml:space="preserve">8 位小数</w:t>
      </w:r>
      <w:r>
        <w:rPr>
          <w:rFonts w:ascii="Calibri" w:eastAsia="SimSun" w:hAnsi="Calibri"/>
          <w:sz w:val="21"/>
          <w:szCs w:val="21"/>
        </w:rPr>
        <w:t xml:space="preserve">；展示层</w:t>
      </w:r>
      <w:r>
        <w:rPr>
          <w:rFonts w:ascii="Calibri" w:eastAsia="SimSun" w:hAnsi="Calibri"/>
          <w:b/>
          <w:bCs/>
          <w:sz w:val="21"/>
          <w:szCs w:val="21"/>
        </w:rPr>
        <w:t xml:space="preserve">非货币基金 4 位、货币基金 6 位小数</w:t>
      </w:r>
      <w:r>
        <w:rPr>
          <w:rFonts w:ascii="Calibri" w:eastAsia="SimSun" w:hAnsi="Calibri"/>
          <w:sz w:val="21"/>
          <w:szCs w:val="21"/>
        </w:rPr>
        <w:t xml:space="preserve">；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SimSun" w:hAnsi="Calibri"/>
          <w:b/>
          <w:bCs/>
          <w:sz w:val="21"/>
          <w:szCs w:val="21"/>
        </w:rPr>
        <w:t xml:space="preserve">Q26</w:t>
      </w:r>
      <w:r>
        <w:rPr>
          <w:rFonts w:ascii="Calibri" w:eastAsia="SimSun" w:hAnsi="Calibri"/>
          <w:sz w:val="21"/>
          <w:szCs w:val="21"/>
        </w:rPr>
        <w:t xml:space="preserve">：成分基准缺行情</w:t>
      </w:r>
      <w:r>
        <w:rPr>
          <w:rFonts w:ascii="Calibri" w:eastAsia="SimSun" w:hAnsi="Calibri"/>
          <w:b/>
          <w:bCs/>
          <w:sz w:val="21"/>
          <w:szCs w:val="21"/>
        </w:rPr>
        <w:t xml:space="preserve">即阻断该基金并告警</w:t>
      </w:r>
      <w:r>
        <w:rPr>
          <w:rFonts w:ascii="Calibri" w:eastAsia="SimSun" w:hAnsi="Calibri"/>
          <w:sz w:val="21"/>
          <w:szCs w:val="21"/>
        </w:rPr>
        <w:t xml:space="preserve">，不设“沿用前值”降级；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alibri" w:eastAsia="SimSun" w:hAnsi="Calibri"/>
          <w:b/>
          <w:bCs/>
          <w:sz w:val="21"/>
          <w:szCs w:val="21"/>
        </w:rPr>
        <w:t xml:space="preserve">Q30</w:t>
      </w:r>
      <w:r>
        <w:rPr>
          <w:rFonts w:ascii="Calibri" w:eastAsia="SimSun" w:hAnsi="Calibri"/>
          <w:sz w:val="21"/>
          <w:szCs w:val="21"/>
        </w:rPr>
        <w:t xml:space="preserve">：过程数据</w:t>
      </w:r>
      <w:r>
        <w:rPr>
          <w:rFonts w:ascii="Calibri" w:eastAsia="SimSun" w:hAnsi="Calibri"/>
          <w:b/>
          <w:bCs/>
          <w:sz w:val="21"/>
          <w:szCs w:val="21"/>
        </w:rPr>
        <w:t xml:space="preserve">开放查询、永久保留</w:t>
      </w:r>
      <w:r>
        <w:rPr>
          <w:rFonts w:ascii="Calibri" w:eastAsia="SimSun" w:hAnsi="Calibri"/>
          <w:sz w:val="21"/>
          <w:szCs w:val="21"/>
        </w:rPr>
        <w:t xml:space="preserve">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eastAsia="SimSun" w:hAnsi="Calibri"/>
          <w:b/>
          <w:bCs/>
          <w:sz w:val="21"/>
          <w:szCs w:val="21"/>
        </w:rPr>
        <w:t xml:space="preserve">Q46</w:t>
      </w:r>
      <w:r>
        <w:rPr>
          <w:rFonts w:ascii="Calibri" w:eastAsia="SimSun" w:hAnsi="Calibri"/>
          <w:sz w:val="21"/>
          <w:szCs w:val="21"/>
        </w:rPr>
        <w:t xml:space="preserve">：</w:t>
      </w:r>
      <w:r>
        <w:rPr>
          <w:rFonts w:ascii="Calibri" w:eastAsia="SimSun" w:hAnsi="Calibri"/>
          <w:b/>
          <w:bCs/>
          <w:sz w:val="21"/>
          <w:szCs w:val="21"/>
        </w:rPr>
        <w:t xml:space="preserve">不设新老并行</w:t>
      </w:r>
      <w:r>
        <w:rPr>
          <w:rFonts w:ascii="Calibri" w:eastAsia="SimSun" w:hAnsi="Calibri"/>
          <w:sz w:val="21"/>
          <w:szCs w:val="21"/>
        </w:rPr>
        <w:t xml:space="preserve">，测试验证（项目组备注：建议以 VBA 2026-06-30 计算结果为测试参考样本）。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SimSun" w:hAnsi="Calibri"/>
          <w:b/>
          <w:bCs/>
          <w:sz w:val="21"/>
          <w:szCs w:val="21"/>
        </w:rPr>
        <w:t xml:space="preserve">维护职责修订</w:t>
      </w:r>
      <w:r>
        <w:rPr>
          <w:rFonts w:ascii="Calibri" w:eastAsia="SimSun" w:hAnsi="Calibri"/>
          <w:sz w:val="21"/>
          <w:szCs w:val="21"/>
        </w:rPr>
        <w:t xml:space="preserve">：基准主数据与基金清单/基准配置由</w:t>
      </w:r>
      <w:r>
        <w:rPr>
          <w:rFonts w:ascii="Calibri" w:eastAsia="SimSun" w:hAnsi="Calibri"/>
          <w:b/>
          <w:bCs/>
          <w:sz w:val="21"/>
          <w:szCs w:val="21"/>
        </w:rPr>
        <w:t xml:space="preserve">创新部</w:t>
      </w:r>
      <w:r>
        <w:rPr>
          <w:rFonts w:ascii="Calibri" w:eastAsia="SimSun" w:hAnsi="Calibri"/>
          <w:sz w:val="21"/>
          <w:szCs w:val="21"/>
        </w:rPr>
        <w:t xml:space="preserve">统一维护（原推荐方案及《业务解决方案》v1.0 中“投资风险管理部”表述已在 v2.0 修订）。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eastAsia="SimSun" w:hAnsi="Calibri"/>
          <w:sz w:val="21"/>
          <w:szCs w:val="21"/>
        </w:rPr>
        <w:t xml:space="preserve">题目只增不删；“关闭/挂起/承接”仅为回复流程管理。</w:t>
      </w:r>
    </w:p>
    <w:p>
      <w:pPr>
        <w:pStyle w:val="Heading1"/>
        <w:spacing w:after="160" w:before="240"/>
      </w:pPr>
      <w:r>
        <w:rPr>
          <w:rFonts w:ascii="Calibri" w:eastAsia="Microsoft YaHei" w:hAnsi="Calibri"/>
          <w:b/>
          <w:bCs/>
          <w:color w:val="000000"/>
          <w:sz w:val="28"/>
          <w:szCs w:val="28"/>
        </w:rPr>
        <w:t xml:space="preserve">二、问题分布概览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900"/>
        <w:gridCol w:w="800"/>
        <w:gridCol w:w="4526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类别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题号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题数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处置结果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 w:val="false"/>
                <w:bCs w:val="false"/>
                <w:sz w:val="18"/>
                <w:szCs w:val="18"/>
              </w:rPr>
              <w:t xml:space="preserve">一、业绩比较基准结构化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1–6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5 确认、1 关闭（Q5）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 w:val="false"/>
                <w:bCs w:val="false"/>
                <w:sz w:val="18"/>
                <w:szCs w:val="18"/>
              </w:rPr>
              <w:t xml:space="preserve">二、外部数据读取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7–13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4 确认、1 关闭（Q12）、2 部分确认（Q7/Q13→C5/C6）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 w:val="false"/>
                <w:bCs w:val="false"/>
                <w:sz w:val="18"/>
                <w:szCs w:val="18"/>
              </w:rPr>
              <w:t xml:space="preserve">三、业绩比较计算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14–22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9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4 确认（Q16/18/19/22，Q18/Q19 由增补承接）、3 关闭（Q14/Q15/Q17）、2 挂起（Q20/Q21）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 w:val="false"/>
                <w:bCs w:val="false"/>
                <w:sz w:val="18"/>
                <w:szCs w:val="18"/>
              </w:rPr>
              <w:t xml:space="preserve">四、业绩比较基准展示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23–25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3 挂起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 w:val="false"/>
                <w:bCs w:val="false"/>
                <w:sz w:val="18"/>
                <w:szCs w:val="18"/>
              </w:rPr>
              <w:t xml:space="preserve">五、异常场景处理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26–28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2 确认、1 关闭（Q27）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 w:val="false"/>
                <w:bCs w:val="false"/>
                <w:sz w:val="18"/>
                <w:szCs w:val="18"/>
              </w:rPr>
              <w:t xml:space="preserve">六、维护与查看权限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29–31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3 确认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 w:val="false"/>
                <w:bCs w:val="false"/>
                <w:sz w:val="18"/>
                <w:szCs w:val="18"/>
              </w:rPr>
              <w:t xml:space="preserve">七、净值增长率取数（估值系统）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32–38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7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6 确认、1 部分确认（Q35→C1）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 w:val="false"/>
                <w:bCs w:val="false"/>
                <w:sz w:val="18"/>
                <w:szCs w:val="18"/>
              </w:rPr>
              <w:t xml:space="preserve">八、官网/APP 推送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39–44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6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3 确认、3 待定（Q39/Q40/Q43→C2/C3/C4）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 w:val="false"/>
                <w:bCs w:val="false"/>
                <w:sz w:val="18"/>
                <w:szCs w:val="18"/>
              </w:rPr>
              <w:t xml:space="preserve">九、范围边界与过渡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45–47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3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3 确认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合计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1–47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47</w:t>
            </w:r>
          </w:p>
        </w:tc>
        <w:tc>
          <w:tcPr>
            <w:tcW w:type="dxa" w:w="45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30 确认、6 关闭、5 挂起、3 部分确认、3 待定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（Q14/Q15 由增补承接关闭）</w:t>
            </w:r>
          </w:p>
        </w:tc>
      </w:tr>
    </w:tbl>
    <w:p>
      <w:pPr>
        <w:pStyle w:val="Heading1"/>
        <w:spacing w:after="160" w:before="240"/>
      </w:pPr>
      <w:r>
        <w:rPr>
          <w:rFonts w:ascii="Calibri" w:eastAsia="Microsoft YaHei" w:hAnsi="Calibri"/>
          <w:b/>
          <w:bCs/>
          <w:color w:val="000000"/>
          <w:sz w:val="28"/>
          <w:szCs w:val="28"/>
        </w:rPr>
        <w:t xml:space="preserve">三、待确认事项清单（C1–C6）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826"/>
        <w:gridCol w:w="1900"/>
        <w:gridCol w:w="1600"/>
      </w:tblGrid>
      <w:tr>
        <w:trPr>
          <w:tblHeader/>
        </w:trP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事项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归口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关联题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C1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估值系统对接方式（数据库直连/接口/文件）、数据到位时点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与估值系统方讨论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Q35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C2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官网/APP 推送方式（API 拉取 or 文件推送、传输通道）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与官网/APP 侧讨论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Q39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C3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推送频率与时限（T 日几点前展示更新、特殊披露频率产品处理）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待业务老师明确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Q40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C4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推送对账与差错撤回机制（批次号/回执/整批覆盖重推）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与官网/APP 侧讨论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Q43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C5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Wind 基准行情对接方式（接口直连 or 文件导入、导出模板维护与格式变更通知）——来源＝Wind 已确认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技术对接时确认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Q7 行情侧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C6</w:t>
            </w:r>
          </w:p>
        </w:tc>
        <w:tc>
          <w:tcPr>
            <w:tcW w:type="dxa" w:w="4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行情修订触发重算后的重新披露/更正流程——触发重算已确认</w:t>
            </w:r>
          </w:p>
        </w:tc>
        <w:tc>
          <w:tcPr>
            <w:tcW w:type="dxa" w:w="1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待业务明确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Q13 行情侧</w:t>
            </w:r>
          </w:p>
        </w:tc>
      </w:tr>
    </w:tbl>
    <w:p>
      <w:pPr>
        <w:pStyle w:val="Heading1"/>
        <w:spacing w:after="160" w:before="240"/>
      </w:pPr>
      <w:r>
        <w:rPr>
          <w:rFonts w:ascii="Calibri" w:eastAsia="Microsoft YaHei" w:hAnsi="Calibri"/>
          <w:b/>
          <w:bCs/>
          <w:color w:val="000000"/>
          <w:sz w:val="28"/>
          <w:szCs w:val="28"/>
        </w:rPr>
        <w:t xml:space="preserve">四、逐题回复记录（第 1–47 题）</w:t>
      </w:r>
    </w:p>
    <w:p>
      <w:pPr>
        <w:pStyle w:val="Heading2"/>
        <w:spacing w:after="120" w:before="200"/>
      </w:pPr>
      <w:r>
        <w:rPr>
          <w:rFonts w:ascii="Calibri" w:eastAsia="Microsoft YaHei" w:hAnsi="Calibri"/>
          <w:b/>
          <w:bCs/>
          <w:color w:val="000000"/>
          <w:sz w:val="24"/>
          <w:szCs w:val="24"/>
        </w:rPr>
        <w:t xml:space="preserve">一、业绩比较基准结构化（Q1–Q6）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60"/>
        <w:gridCol w:w="2750"/>
        <w:gridCol w:w="4096"/>
        <w:gridCol w:w="800"/>
      </w:tblGrid>
      <w:tr>
        <w:trPr>
          <w:tblHeader/>
        </w:trP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业务回复与定稿结论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组合基准每日再平衡口径是否全部产品适用？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仅每日再平衡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，不存在“各成分独立复利、期末按权重合并”的合同约定；无需口径标识分支。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权重合计须 100%？空成分处理？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按推荐：保存强制校验合计＝100%（容差 ±0.0001）、不等即阻断；空成分视为 0 权重跳过、至少 1 个有效成分；</w:t>
            </w: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可能存在现金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——现金未指定基准的情形须在合同层面先明确。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基准变更前后区间衔接与历史追溯？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按推荐：配置带生效起止日期、按估值日落入区间取配置；变更日所在区间分段计算（旧/新基准日因子拼接）；</w:t>
            </w: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历史报告要追溯重算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（≠推荐“原则上不追溯”，需配置版本化＋重算机制）。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基准主数据唯一键与维护方？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按推荐：以 Wind 指数/指标代码为唯一键建基准主数据（代码、名称、类别、计息方式），名称仅作显示；</w:t>
            </w: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由创新部统一维护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（原推荐为投资风险管理部，已修订），配置变更审批后生效。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预计算复合基准（荣瑞基准等）如何管理？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关闭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：所有复合基准均可拆解明确到具体 Wind 代码，一律系统内“成分＋权重”配置统一计算，不存在整列导入场景。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595959"/>
                <w:sz w:val="18"/>
                <w:szCs w:val="18"/>
              </w:rPr>
              <w:t xml:space="preserve">关闭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汇率折算规则？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按推荐：估值日当日人民币中间价、直接汇率（以 Wind 代码为准）；境外成分在配置中标注币种、系统自动折算，取消人工维护折算列。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eastAsia="Microsoft YaHei" w:hAnsi="Calibri"/>
          <w:b/>
          <w:bCs/>
          <w:color w:val="000000"/>
          <w:sz w:val="24"/>
          <w:szCs w:val="24"/>
        </w:rPr>
        <w:t xml:space="preserve">二、外部数据读取（Q7–Q13）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60"/>
        <w:gridCol w:w="2750"/>
        <w:gridCol w:w="4096"/>
        <w:gridCol w:w="800"/>
      </w:tblGrid>
      <w:tr>
        <w:trPr>
          <w:tblHeader/>
        </w:trP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业务回复与定稿结论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净值与行情：文件导入还是接口直连？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基金净值侧＝估值系统（接口方式挂 C1，见 Q35）；</w:t>
            </w: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基准行情侧（指数/利率/汇率）来源＝Wind 已确认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，对接方式（接口直连 or 文件导入）留技术对接时确认（→C5）。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55A11"/>
                <w:sz w:val="18"/>
                <w:szCs w:val="18"/>
              </w:rPr>
              <w:t xml:space="preserve">部分确认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交易日历以什么为准？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日历分为 </w:t>
            </w: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A股日历、货币市场日历、QD日历（QDII）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 三类，从估值等外部系统获取；不再以净值表日期轴反向覆盖。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利率分段还是最新值？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按推荐：利率按「生效日起止＋适用利率」分段记录，历史区间按当时适用利率分段计提；存量单列年利率迁移时按央行调息公告拆分。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595959"/>
                <w:sz w:val="18"/>
                <w:szCs w:val="18"/>
              </w:rPr>
              <w:t xml:space="preserve">低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汇率更新频率与截止时点？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按推荐：估值日当日中间价，T 日 17:00 前随行情包到位；单一来源为人民银行中间价，缺失告警＋人工补录留痕。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数据晚到/部分到位如何处理？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按推荐：按基金粒度计算，净值与其全部成分基准齐套即出结果；缺数基金挂起标注「数据未齐」，不因个别基金阻塞整批。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导入强制校验与失败处置？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关闭，可忽略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——业务未提出导入校验要求（行情/净值经系统接口获取后，质量防线为 Q26 缺数阻断＋复核机制）。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595959"/>
                <w:sz w:val="18"/>
                <w:szCs w:val="18"/>
              </w:rPr>
              <w:t xml:space="preserve">关闭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历史数据事后修订触发重算？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基金侧：估值系统修订→影响评估→差异超 0.01 百分点触发官网/APP 更正重推→留痕（Q36 已确认）；行情侧：</w:t>
            </w: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Wind 修订历史数据触发重算（已确认），重新披露/更正流程待定（→C6）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55A11"/>
                <w:sz w:val="18"/>
                <w:szCs w:val="18"/>
              </w:rPr>
              <w:t xml:space="preserve">部分确认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eastAsia="Microsoft YaHei" w:hAnsi="Calibri"/>
          <w:b/>
          <w:bCs/>
          <w:color w:val="000000"/>
          <w:sz w:val="24"/>
          <w:szCs w:val="24"/>
        </w:rPr>
        <w:t xml:space="preserve">三、业绩比较计算（Q14–Q22）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60"/>
        <w:gridCol w:w="2750"/>
        <w:gridCol w:w="4096"/>
        <w:gridCol w:w="800"/>
      </w:tblGrid>
      <w:tr>
        <w:trPr>
          <w:tblHeader/>
        </w:trP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业务回复与定稿结论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分红日总回报口径？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关闭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（v1.1 Q33 承接）：①以估值系统数据为准，本系统透传不重算，口径责任转移至估值系统侧。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595959"/>
                <w:sz w:val="18"/>
                <w:szCs w:val="18"/>
              </w:rPr>
              <w:t xml:space="preserve">关闭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份额折算日口径？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关闭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：同 Q14。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595959"/>
                <w:sz w:val="18"/>
                <w:szCs w:val="18"/>
              </w:rPr>
              <w:t xml:space="preserve">关闭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利率类基准 ACT/360 是否统一口径？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天数基准分时点切换：2026-07-01 前（至 2026-06-30）按 ACT/360 计提，2026-07-01 起（含当日）按 ACT/365 计提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。跨越切换日的区间逐日计提、自然分段，无需特殊处理。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成分指数发布晚于基金成立日？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关闭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：不可能存在此种情况（基准成分在基金成立时均有行情数据）。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595959"/>
                <w:sz w:val="18"/>
                <w:szCs w:val="18"/>
              </w:rPr>
              <w:t xml:space="preserve">关闭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基金无净值日基准是否累计？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确认（v1.1 Q37 承接）：以估值系统净值日期序列为基准轴，基金无净值日基准收益不累计，保证①③区间一致可比。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区间起点月首对齐口径？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确认（v1.1 Q32:b 承接）：月首对齐＋自起点前一交易日收盘起算；区间汇总能力保留（本期不推送区间指标）。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区间清单是否固定/子集/自定义？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挂起：本期不推送区间指标（Q41），待二期（定期报告接管等）启用时复核。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7F7F7F"/>
                <w:sz w:val="18"/>
                <w:szCs w:val="18"/>
              </w:rPr>
              <w:t xml:space="preserve">挂起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波动率样本标准差不年化？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挂起：波动率不在本期范围（Q34/Q41 仅推①③）。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7F7F7F"/>
                <w:sz w:val="18"/>
                <w:szCs w:val="18"/>
              </w:rPr>
              <w:t xml:space="preserve">挂起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舍入规则与差值精度？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中间结果按 8 位小数；展示层：非货币类基金按 4 位小数、货币类基金按 6 位小数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。取代原推荐“两位百分比”及 Q38“≥6 位小数”表述（接口传输仍按全精度、中间结果统一 8 位）。⑤⑥差值本期不推送。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eastAsia="Microsoft YaHei" w:hAnsi="Calibri"/>
          <w:b/>
          <w:bCs/>
          <w:color w:val="000000"/>
          <w:sz w:val="24"/>
          <w:szCs w:val="24"/>
        </w:rPr>
        <w:t xml:space="preserve">四、业绩比较基准展示（Q23–Q25）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60"/>
        <w:gridCol w:w="2750"/>
        <w:gridCol w:w="4096"/>
        <w:gridCol w:w="800"/>
      </w:tblGrid>
      <w:tr>
        <w:trPr>
          <w:tblHeader/>
        </w:trP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业务回复与定稿结论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六列两位百分比样式是否沿用？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挂起：本期推送日频①③序列、无表格样式（Q41）；展示精度按 Q22 新口径（4/6 位小数）。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7F7F7F"/>
                <w:sz w:val="18"/>
                <w:szCs w:val="18"/>
              </w:rPr>
              <w:t xml:space="preserve">挂起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24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文字披露模板是否唯一固定？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挂起：本期不附基准构成文案（Q41）。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7F7F7F"/>
                <w:sz w:val="18"/>
                <w:szCs w:val="18"/>
              </w:rPr>
              <w:t xml:space="preserve">挂起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三套导出模板差异与适用范围？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挂起：本期无定期报告披露系统导出（Q45）。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7F7F7F"/>
                <w:sz w:val="18"/>
                <w:szCs w:val="18"/>
              </w:rPr>
              <w:t xml:space="preserve">挂起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eastAsia="Microsoft YaHei" w:hAnsi="Calibri"/>
          <w:b/>
          <w:bCs/>
          <w:color w:val="000000"/>
          <w:sz w:val="24"/>
          <w:szCs w:val="24"/>
        </w:rPr>
        <w:t xml:space="preserve">五、异常场景处理（Q26–Q28）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60"/>
        <w:gridCol w:w="2750"/>
        <w:gridCol w:w="4096"/>
        <w:gridCol w:w="800"/>
      </w:tblGrid>
      <w:tr>
        <w:trPr>
          <w:tblHeader/>
        </w:trP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业务回复与定稿结论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26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成分基准单日缺行情如何处理？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阻断并告警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：任一成分基准缺行情即阻断该基金计算并告警，人工修复后自动重算；不采用推荐方案中“单日缺失沿用前值（收益记 0）”机制。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分红致分母≤0 如何拦截？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关闭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（业务 2026-10-14 确认）：①既透传估值系统、基金侧不再自算，随 Q14/Q15 关闭转估值系统侧。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595959"/>
                <w:sz w:val="18"/>
                <w:szCs w:val="18"/>
              </w:rPr>
              <w:t xml:space="preserve">关闭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28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清盘基金移出时点？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清盘基金按清盘公告日移出计算清单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（与 Q42 一致：不推送、历史结果归档保留可查）。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eastAsia="Microsoft YaHei" w:hAnsi="Calibri"/>
          <w:b/>
          <w:bCs/>
          <w:color w:val="000000"/>
          <w:sz w:val="24"/>
          <w:szCs w:val="24"/>
        </w:rPr>
        <w:t xml:space="preserve">六、维护与查看权限（Q29–Q31）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60"/>
        <w:gridCol w:w="2750"/>
        <w:gridCol w:w="4096"/>
        <w:gridCol w:w="800"/>
      </w:tblGrid>
      <w:tr>
        <w:trPr>
          <w:tblHeader/>
        </w:trP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业务回复与定稿结论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29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基金清单与基准配置维护责任人？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由创新部负责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（原推荐为投资风险管理部，已修订）；审批流程按推荐（发起＋复核后生效），过合同生效日系统自动补算。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30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595959"/>
                <w:sz w:val="18"/>
                <w:szCs w:val="18"/>
              </w:rPr>
              <w:t xml:space="preserve">低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过程数据查看权限与保留期限？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开放查询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（不设部门限制）；</w:t>
            </w: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数据永久保留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（宽于推荐“默认内部＋不少于 10 年”）。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31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是否需要操作日志？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按推荐：系统自动记录操作日志（操作人、时间、计算截止日、输入数据版本、输出文件哈希），日志不可篡改，保留期限同披露底稿。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eastAsia="Microsoft YaHei" w:hAnsi="Calibri"/>
          <w:b/>
          <w:bCs/>
          <w:color w:val="000000"/>
          <w:sz w:val="24"/>
          <w:szCs w:val="24"/>
        </w:rPr>
        <w:t xml:space="preserve">七、基金净值增长率取数（估值系统）（Q32–Q38）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60"/>
        <w:gridCol w:w="2750"/>
        <w:gridCol w:w="4096"/>
        <w:gridCol w:w="800"/>
      </w:tblGrid>
      <w:tr>
        <w:trPr>
          <w:tblHeader/>
        </w:trP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业务回复与定稿结论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32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估值系统输出的“净值增长率”是日增长率还是披露区间增长率？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选 (b)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：估值系统提供日净值/日增长率序列，本系统具备区间汇总能力，原 Q14/Q15/Q19 计算口径继续有效、仅数据源切换；本期推送为日频序列，区间指标本期不推送（Q41）。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33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估值系统增长率的总回报口径（分红/折算）与定期报告是否一致？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以估值系统给的数据为准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，本系统仅转发给官网、APP，不重算、不校验口径；原 Q14/Q15 口径确认责任转移至估值系统侧，本项目不再追认。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34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估值系统是否同时提供②标准差（波动率）？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不提供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。本期推送仅①③（Q41），波动率不在本期范围，自算分支不启用。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35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对接方式、到位时点、产品范围、A/C 份额规则？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接口方式待与估值系统讨论（→C1）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；产品范围＝</w:t>
            </w: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全部产品（含货币/REITs，追问确认）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，无业绩比较基准的产品仅推①、③侧自然不适用；A/C 份额按代码独立输出。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55A11"/>
                <w:sz w:val="18"/>
                <w:szCs w:val="18"/>
              </w:rPr>
              <w:t xml:space="preserve">部分确认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36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估值系统事后修订净值的通知与重推机制？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按推荐：修订登记→影响评估（自动比对差异、重算受影响数据）→差异超 0.01 个百分点触发官网/APP 更正重推→全程留痕（衔接 Q31）。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37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基金净值日期与基准行情日期轴不一致时以谁为准？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按推荐：以估值系统净值日期序列为基准轴，基金无净值日基准收益不累计（维持 Q18），保证①③区间一致可比。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38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595959"/>
                <w:sz w:val="18"/>
                <w:szCs w:val="18"/>
              </w:rPr>
              <w:t xml:space="preserve">低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增长率精度与差值计算？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按推荐：估值系统输出全精度（≥6 位小数，中间结果统一按 Q22 之 8 位）。注：⑤⑥差值因 Q41“仅推①③”不推送，全精度约定仅适用于估值系统↔本系统接口。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eastAsia="Microsoft YaHei" w:hAnsi="Calibri"/>
          <w:b/>
          <w:bCs/>
          <w:color w:val="000000"/>
          <w:sz w:val="24"/>
          <w:szCs w:val="24"/>
        </w:rPr>
        <w:t xml:space="preserve">八、官网/APP 推送（Q39–Q44）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60"/>
        <w:gridCol w:w="2750"/>
        <w:gridCol w:w="4096"/>
        <w:gridCol w:w="800"/>
      </w:tblGrid>
      <w:tr>
        <w:trPr>
          <w:tblHeader/>
        </w:trP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业务回复与定稿结论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39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推送方式：API 拉取还是文件推送？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待讨论（→C2）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：与官网/APP 侧确定对接方式；若文件方式再定格式、命名、传输通道。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待定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40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推送频率与时限、特殊披露频率产品处理？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待业务老师明确（→C3）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待定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41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推送字段与区间范围、是否附基准文案？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仅推送①净值增长率、③基准收益率两项；粒度＝日频序列（曲线数据，追问确认），无需 10 区间指标；不附基准构成文案。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42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推送产品范围、清盘/封闭期处理？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按推荐：推送范围＝官网/APP 业绩展示改造范围（全部产品，与 Q35 一致）；清盘基金不推送、历史归档可查（衔接 Q28）；封闭期产品按其净值披露频率推送。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43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推送对账与差错撤回机制？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待讨论（→C4）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：与官网/APP 侧确定对账（批次号/记录数/回执）与错误批次撤回更正流程。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待定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44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595959"/>
                <w:sz w:val="18"/>
                <w:szCs w:val="18"/>
              </w:rPr>
              <w:t xml:space="preserve">低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前端“同位置展示”改造职责与监管时限衔接？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按推荐：本项目边界至推送/API 提供＋联调支持；官网/APP 前端改造由各端条线负责；2027-01 前完成全量改造，预留 2 个月缓冲（监管时限 2027-03-01）。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</w:tbl>
    <w:p>
      <w:pPr>
        <w:pStyle w:val="Heading2"/>
        <w:spacing w:after="120" w:before="200"/>
      </w:pPr>
      <w:r>
        <w:rPr>
          <w:rFonts w:ascii="Calibri" w:eastAsia="Microsoft YaHei" w:hAnsi="Calibri"/>
          <w:b/>
          <w:bCs/>
          <w:color w:val="000000"/>
          <w:sz w:val="24"/>
          <w:szCs w:val="24"/>
        </w:rPr>
        <w:t xml:space="preserve">九、范围边界与过渡（Q45–Q47）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760"/>
        <w:gridCol w:w="2750"/>
        <w:gridCol w:w="4096"/>
        <w:gridCol w:w="800"/>
      </w:tblGrid>
      <w:tr>
        <w:trPr>
          <w:tblHeader/>
        </w:trP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澄清问题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业务回复与定稿结论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45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C00000"/>
                <w:sz w:val="18"/>
                <w:szCs w:val="18"/>
              </w:rPr>
              <w:t xml:space="preserve">高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本期范围书面确认、VBA 过渡期运维责任人？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本期仅三条业务目标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（基准收益率计算＋估值系统取数＋官网/APP 推送）；微信披露、定期报告导出不在本期；VBA 延续运维事项不在本项目关注范围（并入 Q47 结论）。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46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新老并行验证方案？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不设并行，通过测试验证即可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。〔项目组备注：老工具已知缺陷（第 5 成分权重取列错误）无法经并行比对暴露，建议测试用例以 VBA 最近一次计算结果（2026-06-30）为参考样本做口径抽验，不作为并行机制。〕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  <w:tr>
        <w:tc>
          <w:tcPr>
            <w:tcW w:type="dxa" w:w="6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47</w:t>
            </w:r>
          </w:p>
        </w:tc>
        <w:tc>
          <w:tcPr>
            <w:tcW w:type="dxa" w:w="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 w:val="false"/>
                <w:bCs w:val="false"/>
                <w:color w:val="BF6000"/>
                <w:sz w:val="18"/>
                <w:szCs w:val="18"/>
              </w:rPr>
              <w:t xml:space="preserve">中</w:t>
            </w:r>
          </w:p>
        </w:tc>
        <w:tc>
          <w:tcPr>
            <w:tcW w:type="dxa" w:w="275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sz w:val="18"/>
                <w:szCs w:val="18"/>
              </w:rPr>
              <w:t xml:space="preserve">过渡期官网以哪套数据为准、VBA 何时退役？</w:t>
            </w:r>
          </w:p>
        </w:tc>
        <w:tc>
          <w:tcPr>
            <w:tcW w:type="dxa" w:w="409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官网目前没有该类数据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（全新建设，不存在过渡期两套数据并存）；本期目标仅实现三条目标；</w:t>
            </w:r>
            <w:r>
              <w:rPr>
                <w:rFonts w:ascii="Calibri" w:eastAsia="SimSun" w:hAnsi="Calibri"/>
                <w:b/>
                <w:bCs/>
                <w:sz w:val="18"/>
                <w:szCs w:val="18"/>
              </w:rPr>
              <w:t xml:space="preserve">VBA 是否下线不在本项目关注范围</w:t>
            </w:r>
            <w:r>
              <w:rPr>
                <w:rFonts w:ascii="Calibri" w:eastAsia="SimSun" w:hAnsi="Calibri"/>
                <w:sz w:val="18"/>
                <w:szCs w:val="18"/>
              </w:rPr>
              <w:t xml:space="preserve">。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Calibri" w:eastAsia="SimSun" w:hAnsi="Calibri"/>
                <w:b/>
                <w:bCs/>
                <w:color w:val="1F6F3D"/>
                <w:sz w:val="18"/>
                <w:szCs w:val="18"/>
              </w:rPr>
              <w:t xml:space="preserve">确认</w:t>
            </w:r>
          </w:p>
        </w:tc>
      </w:tr>
    </w:tbl>
    <w:p>
      <w:pPr>
        <w:spacing w:before="160"/>
      </w:pPr>
      <w:r>
        <w:rPr>
          <w:rFonts w:ascii="Calibri" w:eastAsia="SimSun" w:hAnsi="Calibri"/>
          <w:color w:val="595959"/>
          <w:sz w:val="18"/>
          <w:szCs w:val="18"/>
        </w:rPr>
        <w:t xml:space="preserve">归档说明：本题库维护规则下题目只增不删。业务回复已于 2026-10-14 定稿，新增题目已按规则回填《docs/需求拷问题库.md》（口径-07、对接-04、对接-05、迁移-04、时序-05 新增；时序-02、边界-01、流程-04、口径-03、对接-02 来源补充）。原件留档：《A股基金业绩数据更新-业务澄清问题清单v1.0.docx》《业绩比较基准项目-业务澄清问题清单v1.1（回复定稿）.docx》。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2026-10-14T08:01:02.520Z</dcterms:created>
  <dcterms:modified xsi:type="dcterms:W3CDTF">2026-10-14T08:01:02.521Z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