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eastAsia="Microsoft YaHei" w:hAnsi="Calibri"/>
          <w:b/>
          <w:bCs/>
          <w:sz w:val="32"/>
          <w:szCs w:val="32"/>
        </w:rPr>
        <w:t xml:space="preserve">业绩比较基准项目</w:t>
      </w:r>
    </w:p>
    <w:p>
      <w:pPr>
        <w:spacing w:after="80"/>
        <w:jc w:val="center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业务澄清问题清单 v1.1（增补·回复定稿）</w:t>
      </w:r>
    </w:p>
    <w:p>
      <w:pPr>
        <w:pBdr>
          <w:bottom w:val="single" w:color="2E75B6" w:sz="6" w:space="4"/>
        </w:pBdr>
        <w:spacing w:after="200"/>
        <w:jc w:val="center"/>
      </w:pPr>
      <w:r>
        <w:rPr>
          <w:rFonts w:ascii="Calibri" w:eastAsia="SimSun" w:hAnsi="Calibri"/>
          <w:color w:val="595959"/>
          <w:sz w:val="18"/>
          <w:szCs w:val="18"/>
        </w:rPr>
        <w:t xml:space="preserve">编制日期：2026-10-14　｜　依据：业务方三条业务目标说明＋《业务澄清问题清单 v1.0》　｜　状态：业务已当场作答，12 题确认、4 题待定（C1–C4）</w:t>
      </w:r>
    </w:p>
    <w:p>
      <w:pPr>
        <w:pStyle w:val="Heading1"/>
        <w:spacing w:after="160" w:before="240"/>
      </w:pPr>
      <w:r>
        <w:rPr>
          <w:rFonts w:ascii="Calibri" w:eastAsia="Microsoft YaHei" w:hAnsi="Calibri"/>
          <w:b/>
          <w:bCs/>
          <w:color w:val="000000"/>
          <w:sz w:val="28"/>
          <w:szCs w:val="28"/>
        </w:rPr>
        <w:t xml:space="preserve">一、编制说明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SimSun" w:hAnsi="Calibri"/>
          <w:sz w:val="21"/>
          <w:szCs w:val="21"/>
        </w:rPr>
        <w:t xml:space="preserve">业务方于 2026-10-14 明确本项目三条业务目标：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SimSun" w:hAnsi="Calibri"/>
          <w:b/>
          <w:bCs/>
          <w:sz w:val="21"/>
          <w:szCs w:val="21"/>
        </w:rPr>
        <w:t xml:space="preserve">目标一</w:t>
      </w:r>
      <w:r>
        <w:rPr>
          <w:rFonts w:ascii="Calibri" w:eastAsia="SimSun" w:hAnsi="Calibri"/>
          <w:sz w:val="21"/>
          <w:szCs w:val="21"/>
        </w:rPr>
        <w:t xml:space="preserve">：计算业绩比较基准收益率；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SimSun" w:hAnsi="Calibri"/>
          <w:b/>
          <w:bCs/>
          <w:sz w:val="21"/>
          <w:szCs w:val="21"/>
        </w:rPr>
        <w:t xml:space="preserve">目标二</w:t>
      </w:r>
      <w:r>
        <w:rPr>
          <w:rFonts w:ascii="Calibri" w:eastAsia="SimSun" w:hAnsi="Calibri"/>
          <w:sz w:val="21"/>
          <w:szCs w:val="21"/>
        </w:rPr>
        <w:t xml:space="preserve">：从估值系统获取基金净值增长率；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SimSun" w:hAnsi="Calibri"/>
          <w:b/>
          <w:bCs/>
          <w:sz w:val="21"/>
          <w:szCs w:val="21"/>
        </w:rPr>
        <w:t xml:space="preserve">目标三</w:t>
      </w:r>
      <w:r>
        <w:rPr>
          <w:rFonts w:ascii="Calibri" w:eastAsia="SimSun" w:hAnsi="Calibri"/>
          <w:sz w:val="21"/>
          <w:szCs w:val="21"/>
        </w:rPr>
        <w:t xml:space="preserve">：将业绩比较基准收益率及基金净值增长率推送给官网。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SimSun" w:hAnsi="Calibri"/>
          <w:sz w:val="21"/>
          <w:szCs w:val="21"/>
        </w:rPr>
        <w:t xml:space="preserve">同日业务方对增补 16 题（第 32–47 题，衔接 v1.0 连续编号）</w:t>
      </w:r>
      <w:r>
        <w:rPr>
          <w:rFonts w:ascii="Calibri" w:eastAsia="SimSun" w:hAnsi="Calibri"/>
          <w:b/>
          <w:bCs/>
          <w:sz w:val="21"/>
          <w:szCs w:val="21"/>
        </w:rPr>
        <w:t xml:space="preserve">当场作答</w:t>
      </w:r>
      <w:r>
        <w:rPr>
          <w:rFonts w:ascii="Calibri" w:eastAsia="SimSun" w:hAnsi="Calibri"/>
          <w:sz w:val="21"/>
          <w:szCs w:val="21"/>
        </w:rPr>
        <w:t xml:space="preserve">；作答中衍生的 3 处歧义（APP 是否在本期、推送粒度、“所有产品”是否含货币/REITs）已当场追问澄清，见第 3 条。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SimSun" w:hAnsi="Calibri"/>
          <w:b/>
          <w:bCs/>
          <w:sz w:val="21"/>
          <w:szCs w:val="21"/>
        </w:rPr>
        <w:t xml:space="preserve">范围修订（以本轮回复为准）</w:t>
      </w:r>
      <w:r>
        <w:rPr>
          <w:rFonts w:ascii="Calibri" w:eastAsia="SimSun" w:hAnsi="Calibri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SimSun" w:hAnsi="Calibri"/>
          <w:sz w:val="21"/>
          <w:szCs w:val="21"/>
        </w:rPr>
        <w:t xml:space="preserve">本期推送下游＝</w:t>
      </w:r>
      <w:r>
        <w:rPr>
          <w:rFonts w:ascii="Calibri" w:eastAsia="SimSun" w:hAnsi="Calibri"/>
          <w:b/>
          <w:bCs/>
          <w:sz w:val="21"/>
          <w:szCs w:val="21"/>
        </w:rPr>
        <w:t xml:space="preserve">官网＋APP</w:t>
      </w:r>
      <w:r>
        <w:rPr>
          <w:rFonts w:ascii="Calibri" w:eastAsia="SimSun" w:hAnsi="Calibri"/>
          <w:sz w:val="21"/>
          <w:szCs w:val="21"/>
        </w:rPr>
        <w:t xml:space="preserve">（业务目标三口述“官网”，Q33 回复提及“官网、APP”，追问确认两端均在本期；微信不在本期）；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SimSun" w:hAnsi="Calibri"/>
          <w:sz w:val="21"/>
          <w:szCs w:val="21"/>
        </w:rPr>
        <w:t xml:space="preserve">推送粒度＝</w:t>
      </w:r>
      <w:r>
        <w:rPr>
          <w:rFonts w:ascii="Calibri" w:eastAsia="SimSun" w:hAnsi="Calibri"/>
          <w:b/>
          <w:bCs/>
          <w:sz w:val="21"/>
          <w:szCs w:val="21"/>
        </w:rPr>
        <w:t xml:space="preserve">①③日频序列（曲线数据）</w:t>
      </w:r>
      <w:r>
        <w:rPr>
          <w:rFonts w:ascii="Calibri" w:eastAsia="SimSun" w:hAnsi="Calibri"/>
          <w:sz w:val="21"/>
          <w:szCs w:val="21"/>
        </w:rPr>
        <w:t xml:space="preserve">，不推送 10 区间汇总指标、波动率②④、差值⑤⑥，不附基准构成文案；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SimSun" w:hAnsi="Calibri"/>
          <w:sz w:val="21"/>
          <w:szCs w:val="21"/>
        </w:rPr>
        <w:t xml:space="preserve">产品范围＝</w:t>
      </w:r>
      <w:r>
        <w:rPr>
          <w:rFonts w:ascii="Calibri" w:eastAsia="SimSun" w:hAnsi="Calibri"/>
          <w:b/>
          <w:bCs/>
          <w:sz w:val="21"/>
          <w:szCs w:val="21"/>
        </w:rPr>
        <w:t xml:space="preserve">全部产品（含货币基金、REITs）</w:t>
      </w:r>
      <w:r>
        <w:rPr>
          <w:rFonts w:ascii="Calibri" w:eastAsia="SimSun" w:hAnsi="Calibri"/>
          <w:sz w:val="21"/>
          <w:szCs w:val="21"/>
        </w:rPr>
        <w:t xml:space="preserve">；无业绩比较基准的产品仅推①，③侧自然不适用。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SimSun" w:hAnsi="Calibri"/>
          <w:b/>
          <w:bCs/>
          <w:sz w:val="21"/>
          <w:szCs w:val="21"/>
        </w:rPr>
        <w:t xml:space="preserve">本期系统职责边界</w:t>
      </w:r>
      <w:r>
        <w:rPr>
          <w:rFonts w:ascii="Calibri" w:eastAsia="SimSun" w:hAnsi="Calibri"/>
          <w:sz w:val="21"/>
          <w:szCs w:val="21"/>
        </w:rPr>
        <w:t xml:space="preserve">：①基金净值增长率以估值系统数据为准、本系统</w:t>
      </w:r>
      <w:r>
        <w:rPr>
          <w:rFonts w:ascii="Calibri" w:eastAsia="SimSun" w:hAnsi="Calibri"/>
          <w:b/>
          <w:bCs/>
          <w:sz w:val="21"/>
          <w:szCs w:val="21"/>
        </w:rPr>
        <w:t xml:space="preserve">透传不重算</w:t>
      </w:r>
      <w:r>
        <w:rPr>
          <w:rFonts w:ascii="Calibri" w:eastAsia="SimSun" w:hAnsi="Calibri"/>
          <w:sz w:val="21"/>
          <w:szCs w:val="21"/>
        </w:rPr>
        <w:t xml:space="preserve">（基金侧分红/折算口径责任转移至估值系统）；③基准收益率由本系统计算（口径基线＝VBA 解读文档，区间汇总能力保留但本期不推送）；</w:t>
      </w:r>
      <w:r>
        <w:rPr>
          <w:rFonts w:ascii="Calibri" w:eastAsia="SimSun" w:hAnsi="Calibri"/>
          <w:b/>
          <w:bCs/>
          <w:sz w:val="21"/>
          <w:szCs w:val="21"/>
        </w:rPr>
        <w:t xml:space="preserve">不设新老并行验证</w:t>
      </w:r>
      <w:r>
        <w:rPr>
          <w:rFonts w:ascii="Calibri" w:eastAsia="SimSun" w:hAnsi="Calibri"/>
          <w:sz w:val="21"/>
          <w:szCs w:val="21"/>
        </w:rPr>
        <w:t xml:space="preserve">，以测试验证为准；VBA 是否下线不在本项目关注范围。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SimSun" w:hAnsi="Calibri"/>
          <w:sz w:val="21"/>
          <w:szCs w:val="21"/>
        </w:rPr>
        <w:t xml:space="preserve">v1.0 题目只增不删；受本轮回复影响的题目处理见文末对照表。</w:t>
      </w:r>
    </w:p>
    <w:p>
      <w:pPr>
        <w:pStyle w:val="Heading1"/>
        <w:spacing w:after="160" w:before="240"/>
      </w:pPr>
      <w:r>
        <w:rPr>
          <w:rFonts w:ascii="Calibri" w:eastAsia="Microsoft YaHei" w:hAnsi="Calibri"/>
          <w:b/>
          <w:bCs/>
          <w:color w:val="000000"/>
          <w:sz w:val="28"/>
          <w:szCs w:val="28"/>
        </w:rPr>
        <w:t xml:space="preserve">二、待确认事项清单（C1–C4）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26"/>
        <w:gridCol w:w="2400"/>
        <w:gridCol w:w="1600"/>
      </w:tblGrid>
      <w:tr>
        <w:trPr>
          <w:tblHeader/>
        </w:trP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事项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归口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关联题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C1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估值系统对接方式（数据库直连/接口/文件）、数据到位时点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与估值系统方讨论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Q35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C2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官网/APP 推送方式（API 拉取 or 文件推送、传输通道）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与官网/APP 侧讨论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Q39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C3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推送频率与时限（T 日几点前展示更新、特殊披露频率产品处理）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待业务老师明确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Q40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C4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推送对账与差错撤回机制（批次号/回执/整批覆盖重推）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与官网/APP 侧讨论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Q43</w:t>
            </w:r>
          </w:p>
        </w:tc>
      </w:tr>
    </w:tbl>
    <w:p>
      <w:pPr>
        <w:pStyle w:val="Heading1"/>
        <w:spacing w:after="160" w:before="240"/>
      </w:pPr>
      <w:r>
        <w:rPr>
          <w:rFonts w:ascii="Calibri" w:eastAsia="Microsoft YaHei" w:hAnsi="Calibri"/>
          <w:b/>
          <w:bCs/>
          <w:color w:val="000000"/>
          <w:sz w:val="28"/>
          <w:szCs w:val="28"/>
        </w:rPr>
        <w:t xml:space="preserve">三、逐题回复记录（第 32–47 题）</w:t>
      </w:r>
    </w:p>
    <w:p>
      <w:pPr>
        <w:pStyle w:val="Heading2"/>
        <w:spacing w:after="120" w:before="200"/>
      </w:pPr>
      <w:r>
        <w:rPr>
          <w:rFonts w:ascii="Calibri" w:eastAsia="Microsoft YaHei" w:hAnsi="Calibri"/>
          <w:b/>
          <w:bCs/>
          <w:color w:val="000000"/>
          <w:sz w:val="24"/>
          <w:szCs w:val="24"/>
        </w:rPr>
        <w:t xml:space="preserve">七、基金净值增长率取数（估值系统）（第 32–38 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60"/>
        <w:gridCol w:w="2750"/>
        <w:gridCol w:w="4096"/>
        <w:gridCol w:w="800"/>
      </w:tblGrid>
      <w:tr>
        <w:trPr>
          <w:tblHeader/>
        </w:trP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业务回复与定稿结论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估值系统输出的“净值增长率”是日增长率还是披露区间增长率？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选 (b)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：估值系统提供日净值/日增长率序列，本系统具备区间汇总能力，原 Q14/Q15/Q19 计算口径继续有效、仅数据源切换；本期推送为日频序列，区间指标本期不推送（Q41）。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估值系统增长率的总回报口径（分红/折算）与定期报告是否一致？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以估值系统给的数据为准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，本系统仅转发给官网、APP，不重算、不校验口径；原 Q14/Q15 口径确认责任转移至估值系统侧，本项目不再追认。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34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估值系统是否同时提供②标准差（波动率）？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不提供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。本期推送仅①③（Q41），波动率不在本期范围，自算分支不启用。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对接方式、到位时点、产品范围、A/C 份额规则？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接口方式待与估值系统讨论（→C1）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；产品范围＝</w:t>
            </w: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全部产品（含货币/REITs，追问确认）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，无业绩比较基准的产品仅推①、③侧自然不适用；A/C 份额按代码独立输出。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55A11"/>
                <w:sz w:val="18"/>
                <w:szCs w:val="18"/>
              </w:rPr>
              <w:t xml:space="preserve">部分确认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36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估值系统事后修订净值的通知与重推机制？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按推荐：修订登记→影响评估（自动比对差异、重算受影响数据）→差异超 0.01 个百分点触发官网/APP 更正重推→全程留痕（衔接原 Q31）。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37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基金净值日期与基准行情日期轴不一致时以谁为准？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按推荐：以估值系统净值日期序列为基准轴，基金无净值日基准收益不累计（维持原 Q18），保证①③区间一致可比。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38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595959"/>
                <w:sz w:val="18"/>
                <w:szCs w:val="18"/>
              </w:rPr>
              <w:t xml:space="preserve">低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增长率精度与差值计算？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按推荐：估值系统输出全精度（≥6 位小数）。注：⑤⑥差值因 Q41“仅推①③”不推送，全精度约定仅适用于估值系统↔本系统接口。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eastAsia="Microsoft YaHei" w:hAnsi="Calibri"/>
          <w:b/>
          <w:bCs/>
          <w:color w:val="000000"/>
          <w:sz w:val="24"/>
          <w:szCs w:val="24"/>
        </w:rPr>
        <w:t xml:space="preserve">八、官网/APP 推送（第 39–44 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60"/>
        <w:gridCol w:w="2750"/>
        <w:gridCol w:w="4096"/>
        <w:gridCol w:w="800"/>
      </w:tblGrid>
      <w:tr>
        <w:trPr>
          <w:tblHeader/>
        </w:trP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业务回复与定稿结论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39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推送方式：API 拉取还是文件推送？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待讨论（→C2）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：与官网/APP 侧确定对接方式；若文件方式再定格式、命名、传输通道。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待定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推送频率与时限、特殊披露频率产品处理？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待业务老师明确（→C3）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待定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41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推送字段与区间范围、是否附基准文案？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仅推送①净值增长率、③基准收益率两项；粒度＝日频序列（曲线数据，追问确认），无需 10 区间指标；不附基准构成文案。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推送产品范围、清盘/封闭期处理？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按推荐：推送范围＝官网/APP 业绩展示改造范围（全部产品，与 Q35 一致）；清盘基金不推送、历史归档可查（衔接原 Q28）；封闭期产品按其净值披露频率推送。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43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推送对账与差错撤回机制？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待讨论（→C4）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：与官网/APP 侧确定对账（批次号/记录数/回执）与错误批次撤回更正流程。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待定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44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595959"/>
                <w:sz w:val="18"/>
                <w:szCs w:val="18"/>
              </w:rPr>
              <w:t xml:space="preserve">低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前端“同位置展示”改造职责与监管时限衔接？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按推荐：本项目边界至推送/API 提供＋联调支持；官网/APP 前端改造由各端条线负责；2027-01 前完成全量改造，预留 2 个月缓冲（监管时限 2027-03-01）。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eastAsia="Microsoft YaHei" w:hAnsi="Calibri"/>
          <w:b/>
          <w:bCs/>
          <w:color w:val="000000"/>
          <w:sz w:val="24"/>
          <w:szCs w:val="24"/>
        </w:rPr>
        <w:t xml:space="preserve">九、范围边界与过渡（第 45–47 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60"/>
        <w:gridCol w:w="2750"/>
        <w:gridCol w:w="4096"/>
        <w:gridCol w:w="800"/>
      </w:tblGrid>
      <w:tr>
        <w:trPr>
          <w:tblHeader/>
        </w:trP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业务回复与定稿结论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45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本期范围书面确认、VBA 过渡期运维责任人？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本期仅三条业务目标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（基准收益率计算＋估值系统取数＋官网/APP 推送）；微信披露、定期报告导出不在本期；VBA 延续运维事项不在本项目关注范围（并入 Q47 结论）。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46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新老并行验证方案？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不设并行，通过测试验证即可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。〔项目组备注：老工具已知缺陷（第 5 成分权重取列错误）无法经并行比对暴露，建议测试用例以 VBA 最近一次计算结果（2026-06-30）为参考样本做口径抽验，不作为并行机制。〕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47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过渡期官网以哪套数据为准、VBA 何时退役？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官网目前没有该类数据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（全新建设，不存在过渡期两套数据并存）；本期目标仅实现三条目标；</w:t>
            </w: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VBA 是否下线不在本项目关注范围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</w:tbl>
    <w:p>
      <w:pPr>
        <w:pStyle w:val="Heading1"/>
        <w:spacing w:after="160" w:before="240"/>
      </w:pPr>
      <w:r>
        <w:rPr>
          <w:rFonts w:ascii="Calibri" w:eastAsia="Microsoft YaHei" w:hAnsi="Calibri"/>
          <w:b/>
          <w:bCs/>
          <w:color w:val="000000"/>
          <w:sz w:val="28"/>
          <w:szCs w:val="28"/>
        </w:rPr>
        <w:t xml:space="preserve">四、v1.0 受影响题目对照表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原题号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受本轮回复的影响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处理结论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Q7（净值/行情获取方式）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基金净值来源明确为估值系统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基金侧由 Q32–Q35 承接（接口方式挂 C1）；基准行情（指数/利率/汇率）来源仍需回复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Q13（Wind 修订重发）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基金侧修订主体变为估值系统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基金侧由 Q36 覆盖（已确认）；行情侧维持原题待回复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Q14（分红总回报口径）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①透传估值系统、本系统不重算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关闭（口径责任转移至估值系统侧，Q33）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Q15（份额折算口径）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同上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关闭（同 Q14）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Q18（净值日对齐规则）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对齐轴主体变化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由 Q37 确认承接（估值系统净值日期为基准轴）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Q19（区间起点规则）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区间汇总能力保留但本期不推送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口径继续有效（Q32:b）；推送侧不适用（Q41 日频序列）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Q20–Q25（区间清单/样式/文字模板/导出模板）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本期不推区间、不附文案、无披露系统导出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整体挂起，待二期（定期报告接管/微信渠道）启用时复核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Q22（舍入与差值精度）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⑤⑥不推送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差值计算链移出范围；精度约定限于内部接口（Q38）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Q26–Q28（异常场景）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基准行情侧仍适用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维持原题待回复；清盘处理已由 Q42 确认承接</w:t>
            </w:r>
          </w:p>
        </w:tc>
      </w:tr>
    </w:tbl>
    <w:p>
      <w:pPr>
        <w:spacing w:before="160"/>
      </w:pPr>
      <w:r>
        <w:rPr>
          <w:rFonts w:ascii="Calibri" w:eastAsia="SimSun" w:hAnsi="Calibri"/>
          <w:color w:val="595959"/>
          <w:sz w:val="18"/>
          <w:szCs w:val="18"/>
        </w:rPr>
        <w:t xml:space="preserve">注：按题库维护规则 v1.0 题目只增不删，“关闭/挂起”仅为回复流程管理。业务回复已于 2026-10-14 定稿，新增题目已按规则回填《docs/需求拷问题库.md》（口径-07、对接-04、对接-05、迁移-04）。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2026-10-14T06:36:14.811Z</dcterms:created>
  <dcterms:modified xsi:type="dcterms:W3CDTF">2026-10-14T06:36:14.813Z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