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A股基金业绩数据更新</w:t>
      </w:r>
    </w:p>
    <w:p>
      <w:pPr>
        <w:spacing w:after="80"/>
        <w:jc w:val="center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业务澄清问题清单 v1.0（回复定稿）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Calibri" w:eastAsia="SimSun" w:hAnsi="Calibri"/>
          <w:color w:val="595959"/>
          <w:sz w:val="18"/>
          <w:szCs w:val="18"/>
        </w:rPr>
        <w:t xml:space="preserve">编制日期：2026-10-14　｜　依据：《业务澄清问题清单 v1.0》＋业务方当场作答（含同日二次补答 Q7/Q13/Q27）　｜　状态：31 题处置完毕——16 确认、4 关闭、4 由 v1.1 承接、5 挂起、2 部分确认（C5/C6）</w:t>
      </w:r>
    </w:p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一、编制说明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sz w:val="21"/>
          <w:szCs w:val="21"/>
        </w:rPr>
        <w:t xml:space="preserve">业务方于 2026-10-14 对 v1.0 清单（6 类 31 题）逐题当场作答，并于同日二次补答 Q7/Q13/Q27；结合 v1.1 增补清单（Q32–Q47，同日定稿），两版清单回复已合并归档。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SimSun" w:hAnsi="Calibri"/>
          <w:b/>
          <w:bCs/>
          <w:sz w:val="21"/>
          <w:szCs w:val="21"/>
        </w:rPr>
        <w:t xml:space="preserve">与推荐方案不一致的关键决策</w:t>
      </w:r>
      <w:r>
        <w:rPr>
          <w:rFonts w:ascii="Calibri" w:eastAsia="SimSun" w:hAnsi="Calibri"/>
          <w:sz w:val="21"/>
          <w:szCs w:val="21"/>
        </w:rPr>
        <w:t xml:space="preserve">（设计阶段须按此执行）：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Q3</w:t>
      </w:r>
      <w:r>
        <w:rPr>
          <w:rFonts w:ascii="Calibri" w:eastAsia="SimSun" w:hAnsi="Calibri"/>
          <w:sz w:val="21"/>
          <w:szCs w:val="21"/>
        </w:rPr>
        <w:t xml:space="preserve">：基准变更后</w:t>
      </w:r>
      <w:r>
        <w:rPr>
          <w:rFonts w:ascii="Calibri" w:eastAsia="SimSun" w:hAnsi="Calibri"/>
          <w:b/>
          <w:bCs/>
          <w:sz w:val="21"/>
          <w:szCs w:val="21"/>
        </w:rPr>
        <w:t xml:space="preserve">历史报告要追溯重算</w:t>
      </w:r>
      <w:r>
        <w:rPr>
          <w:rFonts w:ascii="Calibri" w:eastAsia="SimSun" w:hAnsi="Calibri"/>
          <w:sz w:val="21"/>
          <w:szCs w:val="21"/>
        </w:rPr>
        <w:t xml:space="preserve">（推荐原为“原则上不追溯”）→ 需配置版本化＋级联重算机制；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Q16</w:t>
      </w:r>
      <w:r>
        <w:rPr>
          <w:rFonts w:ascii="Calibri" w:eastAsia="SimSun" w:hAnsi="Calibri"/>
          <w:sz w:val="21"/>
          <w:szCs w:val="21"/>
        </w:rPr>
        <w:t xml:space="preserve">：利率类基准天数基准</w:t>
      </w:r>
      <w:r>
        <w:rPr>
          <w:rFonts w:ascii="Calibri" w:eastAsia="SimSun" w:hAnsi="Calibri"/>
          <w:b/>
          <w:bCs/>
          <w:sz w:val="21"/>
          <w:szCs w:val="21"/>
        </w:rPr>
        <w:t xml:space="preserve">分时点切换</w:t>
      </w:r>
      <w:r>
        <w:rPr>
          <w:rFonts w:ascii="Calibri" w:eastAsia="SimSun" w:hAnsi="Calibri"/>
          <w:sz w:val="21"/>
          <w:szCs w:val="21"/>
        </w:rPr>
        <w:t xml:space="preserve">——2026-07-01 前 ACT/360、2026-07-01 起（含当日）ACT/365；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Q22</w:t>
      </w:r>
      <w:r>
        <w:rPr>
          <w:rFonts w:ascii="Calibri" w:eastAsia="SimSun" w:hAnsi="Calibri"/>
          <w:sz w:val="21"/>
          <w:szCs w:val="21"/>
        </w:rPr>
        <w:t xml:space="preserve">：中间结果按 </w:t>
      </w:r>
      <w:r>
        <w:rPr>
          <w:rFonts w:ascii="Calibri" w:eastAsia="SimSun" w:hAnsi="Calibri"/>
          <w:b/>
          <w:bCs/>
          <w:sz w:val="21"/>
          <w:szCs w:val="21"/>
        </w:rPr>
        <w:t xml:space="preserve">8 位小数</w:t>
      </w:r>
      <w:r>
        <w:rPr>
          <w:rFonts w:ascii="Calibri" w:eastAsia="SimSun" w:hAnsi="Calibri"/>
          <w:sz w:val="21"/>
          <w:szCs w:val="21"/>
        </w:rPr>
        <w:t xml:space="preserve">；展示层</w:t>
      </w:r>
      <w:r>
        <w:rPr>
          <w:rFonts w:ascii="Calibri" w:eastAsia="SimSun" w:hAnsi="Calibri"/>
          <w:b/>
          <w:bCs/>
          <w:sz w:val="21"/>
          <w:szCs w:val="21"/>
        </w:rPr>
        <w:t xml:space="preserve">非货币基金 4 位小数、货币基金 6 位小数</w:t>
      </w:r>
      <w:r>
        <w:rPr>
          <w:rFonts w:ascii="Calibri" w:eastAsia="SimSun" w:hAnsi="Calibri"/>
          <w:sz w:val="21"/>
          <w:szCs w:val="21"/>
        </w:rPr>
        <w:t xml:space="preserve">（取代原“两位百分比”及 v1.1 Q38“≥6 位”表述）；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Q26</w:t>
      </w:r>
      <w:r>
        <w:rPr>
          <w:rFonts w:ascii="Calibri" w:eastAsia="SimSun" w:hAnsi="Calibri"/>
          <w:sz w:val="21"/>
          <w:szCs w:val="21"/>
        </w:rPr>
        <w:t xml:space="preserve">：成分基准缺行情</w:t>
      </w:r>
      <w:r>
        <w:rPr>
          <w:rFonts w:ascii="Calibri" w:eastAsia="SimSun" w:hAnsi="Calibri"/>
          <w:b/>
          <w:bCs/>
          <w:sz w:val="21"/>
          <w:szCs w:val="21"/>
        </w:rPr>
        <w:t xml:space="preserve">即阻断该基金并告警</w:t>
      </w:r>
      <w:r>
        <w:rPr>
          <w:rFonts w:ascii="Calibri" w:eastAsia="SimSun" w:hAnsi="Calibri"/>
          <w:sz w:val="21"/>
          <w:szCs w:val="21"/>
        </w:rPr>
        <w:t xml:space="preserve">，不采用“沿用前值”机制；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Q30</w:t>
      </w:r>
      <w:r>
        <w:rPr>
          <w:rFonts w:ascii="Calibri" w:eastAsia="SimSun" w:hAnsi="Calibri"/>
          <w:sz w:val="21"/>
          <w:szCs w:val="21"/>
        </w:rPr>
        <w:t xml:space="preserve">：过程数据</w:t>
      </w:r>
      <w:r>
        <w:rPr>
          <w:rFonts w:ascii="Calibri" w:eastAsia="SimSun" w:hAnsi="Calibri"/>
          <w:b/>
          <w:bCs/>
          <w:sz w:val="21"/>
          <w:szCs w:val="21"/>
        </w:rPr>
        <w:t xml:space="preserve">开放查询、永久保留</w:t>
      </w:r>
      <w:r>
        <w:rPr>
          <w:rFonts w:ascii="Calibri" w:eastAsia="SimSun" w:hAnsi="Calibri"/>
          <w:sz w:val="21"/>
          <w:szCs w:val="21"/>
        </w:rPr>
        <w:t xml:space="preserve">（宽于推荐“默认内部＋≥10 年”）。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维护职责修订</w:t>
      </w:r>
      <w:r>
        <w:rPr>
          <w:rFonts w:ascii="Calibri" w:eastAsia="SimSun" w:hAnsi="Calibri"/>
          <w:sz w:val="21"/>
          <w:szCs w:val="21"/>
        </w:rPr>
        <w:t xml:space="preserve">：基准主数据与基金清单/基准配置的维护责任部门为</w:t>
      </w:r>
      <w:r>
        <w:rPr>
          <w:rFonts w:ascii="Calibri" w:eastAsia="SimSun" w:hAnsi="Calibri"/>
          <w:b/>
          <w:bCs/>
          <w:sz w:val="21"/>
          <w:szCs w:val="21"/>
        </w:rPr>
        <w:t xml:space="preserve">创新部</w:t>
      </w:r>
      <w:r>
        <w:rPr>
          <w:rFonts w:ascii="Calibri" w:eastAsia="SimSun" w:hAnsi="Calibri"/>
          <w:sz w:val="21"/>
          <w:szCs w:val="21"/>
        </w:rPr>
        <w:t xml:space="preserve">（v1.0 推荐方案及《业务解决方案》中多处表述为“投资风险管理部”，后续文档修订时须同步更正）。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sz w:val="21"/>
          <w:szCs w:val="21"/>
        </w:rPr>
        <w:t xml:space="preserve">待定事项编号衔接 v1.1 的 C1–C4，本清单现有 </w:t>
      </w:r>
      <w:r>
        <w:rPr>
          <w:rFonts w:ascii="Calibri" w:eastAsia="SimSun" w:hAnsi="Calibri"/>
          <w:b/>
          <w:bCs/>
          <w:sz w:val="21"/>
          <w:szCs w:val="21"/>
        </w:rPr>
        <w:t xml:space="preserve">C5–C6</w:t>
      </w:r>
      <w:r>
        <w:rPr>
          <w:rFonts w:ascii="Calibri" w:eastAsia="SimSun" w:hAnsi="Calibri"/>
          <w:sz w:val="21"/>
          <w:szCs w:val="21"/>
        </w:rPr>
        <w:t xml:space="preserve">（C7 已于同日确认关闭：Q27 随 Q14/Q15 转估值系统侧）。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SimSun" w:hAnsi="Calibri"/>
          <w:sz w:val="21"/>
          <w:szCs w:val="21"/>
        </w:rPr>
        <w:t xml:space="preserve">v1.0 题目只增不删；“关闭/挂起/承接”仅为回复流程管理。</w:t>
      </w:r>
    </w:p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二、待确认事项清单（C5–C6，衔接 v1.1 之 C1–C4）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26"/>
        <w:gridCol w:w="1900"/>
        <w:gridCol w:w="16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归口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关联题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C5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Wind 基准行情的对接方式（接口直连 or 文件导入、导出模板维护与格式变更通知）——来源＝Wind 已确认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技术对接时确认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Q7 行情侧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C6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行情修订触发重算后的重新披露/更正流程（触发重算已确认，披露环节待定）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待业务明确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Q13 行情侧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三、逐题回复记录（第 1–31 题）</w:t>
      </w:r>
    </w:p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一、业绩比较基准结构化（Q1–Q6）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组合基准每日再平衡口径是否全部产品适用？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仅每日再平衡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，不存在“各成分独立复利、期末按权重合并”的合同约定；无需口径标识分支。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权重合计须 100%？空成分处理？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按推荐：保存强制校验合计＝100%（容差 ±0.0001）、不等即阻断；空成分视为 0 权重跳过、至少 1 个有效成分；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可能存在现金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——现金未指定基准的情形须在合同层面先明确。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基准变更前后区间衔接与历史追溯？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按推荐：配置带生效起止日期、按估值日落入区间取配置；变更日所在区间分段计算（旧/新基准日因子拼接）；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历史报告要追溯重算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（≠推荐“原则上不追溯”，需配置版本化＋重算机制）。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基准主数据唯一键与维护方？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按推荐：以 Wind 指数/指标代码为唯一键建基准主数据（代码、名称、类别、计息方式），名称仅作显示；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由创新部统一维护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（原推荐为投资风险管理部，已修订），配置变更审批后生效。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预计算复合基准（荣瑞基准等）如何管理？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：所有复合基准均可拆解明确到具体 Wind 代码，一律系统内“成分＋权重”配置统一计算，不存在整列导入场景。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汇率折算规则？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按推荐：估值日当日人民币中间价、直接汇率（以 Wind 代码为准）；境外成分在配置中标注币种、系统自动折算，取消人工维护折算列。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二、外部数据读取（Q7–Q13）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净值与行情：文件导入还是接口直连？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基金净值侧已由 v1.1 定稿（估值系统，接口方式挂 C1）；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基准行情侧（指数/利率/汇率）来源＝Wind 已确认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，对接方式（接口直连 or 文件导入）留技术对接时确认（→C5）。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55A11"/>
                <w:sz w:val="18"/>
                <w:szCs w:val="18"/>
              </w:rPr>
              <w:t xml:space="preserve">部分确认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交易日历以什么为准？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日历分为 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A股日历、货币市场日历、QD日历（QDII）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 三类，从估值等外部系统获取；不再以净值表日期轴反向覆盖。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利率分段还是最新值？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按推荐：利率按「生效日起止＋适用利率」分段记录，历史区间按当时适用利率分段计提；存量单列年利率迁移时按央行调息公告拆分。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汇率更新频率与截止时点？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按推荐：估值日当日中间价，T 日 17:00 前随行情包到位；单一来源为人民银行中间价，缺失告警＋人工补录留痕。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数据晚到/部分到位如何处理？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按推荐：按基金粒度计算，净值与其全部成分基准齐套即出结果；缺数基金挂起标注「数据未齐」，不因个别基金阻塞整批。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导入强制校验与失败处置？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关闭，可忽略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——业务未提出导入校验要求（行情/净值经系统接口获取后，质量防线为 Q26 缺数阻断＋复核机制）。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历史数据事后修订触发重算？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基金侧已由 v1.1 Q36 定稿；行情侧：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Wind 修订历史数据触发重算（已确认），重新披露/更正流程待定（→C6）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55A11"/>
                <w:sz w:val="18"/>
                <w:szCs w:val="18"/>
              </w:rPr>
              <w:t xml:space="preserve">部分确认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三、业绩比较计算（Q14–Q22）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分红日总回报口径？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v1.1 Q33 已关闭：①以估值系统数据为准，本系统透传不重算，口径责任转移至估值系统侧。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2E75B6"/>
                <w:sz w:val="18"/>
                <w:szCs w:val="18"/>
              </w:rPr>
              <w:t xml:space="preserve">v1.1 承接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份额折算日口径？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同 Q14，v1.1 Q33 关闭。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2E75B6"/>
                <w:sz w:val="18"/>
                <w:szCs w:val="18"/>
              </w:rPr>
              <w:t xml:space="preserve">v1.1 承接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利率类基准 ACT/360 是否统一口径？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天数基准分时点切换：2026-07-01 前（至 2026-06-30）按 ACT/360 计提，2026-07-01 起（含当日）按 ACT/365 计提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。跨越切换日的区间逐日计提、自然分段，无需特殊处理。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成分指数发布晚于基金成立日？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：不可能存在此种情况（基准成分在基金成立时均有行情数据）。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基金无净值日基准是否累计？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v1.1 Q37 已确认：以估值系统净值日期序列为基准轴，基金无净值日基准收益不累计。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2E75B6"/>
                <w:sz w:val="18"/>
                <w:szCs w:val="18"/>
              </w:rPr>
              <w:t xml:space="preserve">v1.1 承接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区间起点月首对齐口径？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v1.1 Q32:b 已确认有效：月首对齐＋自起点前一交易日收盘起算；区间汇总能力保留（本期不推送区间指标）。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2E75B6"/>
                <w:sz w:val="18"/>
                <w:szCs w:val="18"/>
              </w:rPr>
              <w:t xml:space="preserve">v1.1 承接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区间清单是否固定/子集/自定义？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挂起：本期不推送区间指标（v1.1 Q41），待二期（定期报告接管等）启用时复核。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波动率样本标准差不年化？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挂起：波动率不在本期范围（v1.1 Q34/Q41 仅推①③）。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舍入规则与差值精度？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中间结果按 8 位小数；展示层：非货币类基金按 4 位小数、货币类基金按 6 位小数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。取代原推荐“两位百分比”及 v1.1 Q38“≥6 位小数”表述（接口传输仍按全精度、中间结果统一 8 位）。⑤⑥差值本期不推送。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四、业绩比较基准展示（Q23–Q25）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六列两位百分比样式是否沿用？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挂起：本期推送日频①③序列、无表格样式（v1.1 Q41）；展示精度按 Q22 新口径（4/6 位小数）。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文字披露模板是否唯一固定？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挂起：本期不附基准构成文案（v1.1 Q41）。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三套导出模板差异与适用范围？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挂起：本期无定期报告披露系统导出（v1.1 Q45）。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五、异常场景处理（Q26–Q28）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成分基准单日缺行情如何处理？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阻断并告警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：任一成分基准缺行情即阻断该基金计算并告警，人工修复后自动重算；不采用推荐方案中“单日缺失沿用前值（收益记 0）”机制。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分红致分母≤0 如何拦截？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（业务 2026-10-14 确认）：①既透传估值系统、基金侧不再自算，随 Q14/Q15 关闭转估值系统侧。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清盘基金移出时点？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清盘基金按清盘公告日移出计算清单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（与 v1.1 Q42 一致：不推送、历史结果归档保留可查）。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六、维护与查看权限（Q29–Q31）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基金清单与基准配置维护责任人？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由创新部负责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（原推荐为投资风险管理部，已修订）；审批流程按推荐（发起＋复核后生效），过合同生效日系统自动补算。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过程数据查看权限与保留期限？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开放查询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（不设部门限制）；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数据永久保留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（宽于推荐“默认内部＋不少于 10 年”）。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是否需要操作日志？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按推荐：系统自动记录操作日志（操作人、时间、计算截止日、输入数据版本、输出文件哈希），日志不可篡改，保留期限同披露底稿。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spacing w:before="160"/>
      </w:pPr>
      <w:r>
        <w:rPr>
          <w:rFonts w:ascii="Calibri" w:eastAsia="SimSun" w:hAnsi="Calibri"/>
          <w:color w:val="595959"/>
          <w:sz w:val="18"/>
          <w:szCs w:val="18"/>
        </w:rPr>
        <w:t xml:space="preserve">注：本题库维护规则下 v1.0 题目只增不删。业务回复已于 2026-10-14 定稿，新增题目已按规则回填《docs/需求拷问题库.md》（时序-05 新增；时序-02、边界-01、流程-04 来源补充）。姊妹文档：《业绩比较基准项目-业务澄清问题清单v1.1（回复定稿）》（Q32–Q47、C1–C4）。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2026-10-14T07:37:50.449Z</dcterms:created>
  <dcterms:modified xsi:type="dcterms:W3CDTF">2026-10-14T07:37:50.450Z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