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微软雅黑" w:eastAsia="微软雅黑" w:hAnsi="微软雅黑"/>
          <w:b/>
          <w:bCs/>
          <w:sz w:val="36"/>
          <w:szCs w:val="36"/>
        </w:rPr>
        <w:t xml:space="preserve">《公开募集证券投资基金业绩比较基准操作细则》附件3 内容总结</w:t>
      </w:r>
    </w:p>
    <w:p>
      <w:pPr>
        <w:spacing w:after="80"/>
        <w:jc w:val="center"/>
      </w:pPr>
      <w:r>
        <w:rPr>
          <w:rFonts w:ascii="宋体" w:eastAsia="宋体" w:hAnsi="宋体"/>
          <w:color w:val="595959"/>
          <w:sz w:val="26"/>
          <w:szCs w:val="26"/>
        </w:rPr>
        <w:t xml:space="preserve">相关指标解释、基准收益率计算参考及基准示例</w:t>
      </w:r>
    </w:p>
    <w:p>
      <w:pPr>
        <w:pBdr>
          <w:bottom w:val="single" w:color="2E75B6" w:sz="6" w:space="4"/>
        </w:pBdr>
        <w:spacing w:after="240"/>
        <w:jc w:val="center"/>
      </w:pPr>
      <w:r>
        <w:rPr>
          <w:rFonts w:ascii="宋体" w:eastAsia="宋体" w:hAnsi="宋体"/>
          <w:color w:val="808080"/>
          <w:sz w:val="20"/>
          <w:szCs w:val="20"/>
        </w:rPr>
        <w:t xml:space="preserve">整理日期：2026-10-20 ｜ 来源：附件3 扫描版 PDF（OCR 识别）</w:t>
      </w:r>
    </w:p>
    <w:p>
      <w:pPr>
        <w:spacing w:after="120"/>
      </w:pPr>
      <w:r>
        <w:rPr>
          <w:rFonts w:ascii="宋体" w:eastAsia="宋体" w:hAnsi="宋体"/>
          <w:b/>
          <w:bCs/>
          <w:i w:val="false"/>
          <w:iCs w:val="false"/>
          <w:sz w:val="24"/>
          <w:szCs w:val="24"/>
        </w:rPr>
        <w:t xml:space="preserve">文件性质：本附件为操作细则的配套技术文件，共 18 页，分三部分：① 相关指标解释与计算公式；② 基准收益率计算方法；③ 各类型基金的基准示例。</w:t>
      </w:r>
    </w:p>
    <w:p>
      <w:pPr>
        <w:pStyle w:val="Heading1"/>
      </w:pPr>
      <w:r>
        <w:rPr>
          <w:rFonts w:ascii="微软雅黑" w:eastAsia="微软雅黑" w:hAnsi="微软雅黑"/>
        </w:rPr>
        <w:t xml:space="preserve">一、指标解释</w:t>
      </w:r>
    </w:p>
    <w:p>
      <w:pPr>
        <w:pStyle w:val="Heading2"/>
      </w:pPr>
      <w:r>
        <w:rPr>
          <w:rFonts w:ascii="微软雅黑" w:eastAsia="微软雅黑" w:hAnsi="微软雅黑"/>
        </w:rPr>
        <w:t xml:space="preserve">（一）指标分类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 xml:space="preserve">指标类别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 xml:space="preserve">指标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基金业绩表现类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信息比率、跟踪误差、超额收益、卡玛比率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权益资产类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股票配置偏离限额（仓位/行业/风格结构偏离）、基准成份券覆盖率、主动比率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债券资产类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久期中枢、信用风险暴露集中度（行业/区域/内外部评级）、含权资产仓位与结构、最大回撤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微软雅黑" w:eastAsia="微软雅黑" w:hAnsi="微软雅黑"/>
        </w:rPr>
        <w:t xml:space="preserve">（二）各指标定义与计算公式</w:t>
      </w:r>
    </w:p>
    <w:p>
      <w:pPr>
        <w:spacing w:after="100" w:before="200"/>
      </w:pPr>
      <w:r>
        <w:rPr>
          <w:rFonts w:ascii="微软雅黑" w:eastAsia="微软雅黑" w:hAnsi="微软雅黑"/>
          <w:b/>
          <w:bCs/>
          <w:sz w:val="26"/>
          <w:szCs w:val="26"/>
        </w:rPr>
        <w:t xml:space="preserve">1. 信息比率（IR）</w:t>
      </w: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衡量投资组合相对于基准指数的单位主动风险所对应的超额收益。作用：评估主动管理效能（越高表明同等主动风险下获取超额收益能力越强，可横向对比基金经理）；平衡收益与风险（动态跟踪策略表现，持续稳定或上升表明策略有效，趋势性下降需关注风险）。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IR = mean(Rp,t − Rb,t) / TE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IR_ann = IR × √N（日频 N=250，周频 N=52）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Rp,t 为组合日收益率，Rb,t 为基准日收益率，TE 为日跟踪误差。</w:t>
      </w:r>
    </w:p>
    <w:p>
      <w:pPr>
        <w:spacing w:after="100" w:before="200"/>
      </w:pPr>
      <w:r>
        <w:rPr>
          <w:rFonts w:ascii="微软雅黑" w:eastAsia="微软雅黑" w:hAnsi="微软雅黑"/>
          <w:b/>
          <w:bCs/>
          <w:sz w:val="26"/>
          <w:szCs w:val="26"/>
        </w:rPr>
        <w:t xml:space="preserve">2. 跟踪误差（TE）</w:t>
      </w: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基金收益率与基准收益率差异的标准差，反映组合偏离基准的波动幅度。作用：量化基准偏离风险（被动型基金低跟踪误差是核心目标；主动型基金需适度误差配合超额收益）；指导资产配置调整（误差扩大时可增加与基准相关性高的资产以降低偏离）。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TE = stdev(Rp,t − Rb,t)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TE_ann = TE × √N（日频 N=250）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stdev 为样本标准差：√(Σ(xi − x̄)² / (n−1))，x 为样本算术平均值。</w:t>
      </w:r>
    </w:p>
    <w:p>
      <w:pPr>
        <w:spacing w:after="100" w:before="200"/>
      </w:pPr>
      <w:r>
        <w:rPr>
          <w:rFonts w:ascii="微软雅黑" w:eastAsia="微软雅黑" w:hAnsi="微软雅黑"/>
          <w:b/>
          <w:bCs/>
          <w:sz w:val="26"/>
          <w:szCs w:val="26"/>
        </w:rPr>
        <w:t xml:space="preserve">3. 卡玛比率（Calmar）</w:t>
      </w: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年化收益率与历史最大回撤绝对值的比值，反映单位极端回撤风险所获得的收益补偿。作用：极端风险调整后的收益性价比评估；聚焦尾部风险（高收益但低卡玛比率表明收益以承担极高尾部风险为代价），与夏普比率互补（夏普衡量日常波动，卡玛聚焦极端回撤），需结合回撤修复天数等指标综合评估。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Calmar_ann = 年化收益率 / |区间累计收益率最大回撤|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年化收益率 = (1 + R_period)^(N/n) − 1（n 为区间交易日天数，日频 N=250）</w:t>
      </w:r>
    </w:p>
    <w:p>
      <w:pPr>
        <w:spacing w:after="100" w:before="200"/>
      </w:pPr>
      <w:r>
        <w:rPr>
          <w:rFonts w:ascii="微软雅黑" w:eastAsia="微软雅黑" w:hAnsi="微软雅黑"/>
          <w:b/>
          <w:bCs/>
          <w:sz w:val="26"/>
          <w:szCs w:val="26"/>
        </w:rPr>
        <w:t xml:space="preserve">4. 股票配置偏离</w:t>
      </w: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基金股票资产实际配置仓位、行业或风格结构与基准中对应配置比例之间的差异。通过仓位偏离监控大类资产择时风险敞口，通过行业/风格偏离评估权益资产的细分偏离，防范过度偏离导致投资目标无法实现。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仓位偏离 = Wp − Wb（Wp＝股票市值/基金资产净值；Wb＝基准股票权重，组合要素基准取所有股票指数权重之和）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第 i 个行业偏离 = Wi − Bi（组合要素基准的 Bi 为各成份指数行业权重的加权平均，权重为基准原始构成比例）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风格偏离 = Σ(风险暴露差 × 权重差)（多因子模型下按个股权重差与 z-score 暴露加总；或按投资风格分类模型比较权重暴露之差）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更关注股票资产内部结构的基金可采用归一化权重口径（除以股票资产市值而非资产净值）。</w:t>
      </w:r>
    </w:p>
    <w:p>
      <w:pPr>
        <w:spacing w:after="100" w:before="200"/>
      </w:pPr>
      <w:r>
        <w:rPr>
          <w:rFonts w:ascii="微软雅黑" w:eastAsia="微软雅黑" w:hAnsi="微软雅黑"/>
          <w:b/>
          <w:bCs/>
          <w:sz w:val="26"/>
          <w:szCs w:val="26"/>
        </w:rPr>
        <w:t xml:space="preserve">5. 基准成份券覆盖率</w:t>
      </w: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组合持有的基准指数成份券市值占组合内同类资产总市值的比例，反映对基准构成的跟踪纯度。作用：监测指数复制纯度（被动型越接近 100% 复制精度越高）；监测投资与基准差异（主动型覆盖率低表明显著超配基准外资产，需结合投资目标评估是否构成非预期的风格漂移）。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基准成份券覆盖率 = ΣXi / X（Xi 为组合持有的基准成份券市值，X 为该类资产总市值）</w:t>
      </w:r>
    </w:p>
    <w:p>
      <w:pPr>
        <w:spacing w:after="100" w:before="200"/>
      </w:pPr>
      <w:r>
        <w:rPr>
          <w:rFonts w:ascii="微软雅黑" w:eastAsia="微软雅黑" w:hAnsi="微软雅黑"/>
          <w:b/>
          <w:bCs/>
          <w:sz w:val="26"/>
          <w:szCs w:val="26"/>
        </w:rPr>
        <w:t xml:space="preserve">6. 主动比率</w:t>
      </w: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衡量基金投资组合与基准指数的偏离程度，反映通过选股、择时、行业配置等主动管理对基准的偏离幅度。作用：区分主动与被动投资（被动型趋近于 0）；评估主动管理激进程度（越高则超额收益潜力与跟踪误差风险并存）。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主动比率 = (1/2) × Σ|wi − bi|（wi 为基金第 i 只持仓权重，bi 为基准对应成份股权重，n 为两者并集的股票数量）</w:t>
      </w:r>
    </w:p>
    <w:p>
      <w:pPr>
        <w:spacing w:after="100" w:before="200"/>
      </w:pPr>
      <w:r>
        <w:rPr>
          <w:rFonts w:ascii="微软雅黑" w:eastAsia="微软雅黑" w:hAnsi="微软雅黑"/>
          <w:b/>
          <w:bCs/>
          <w:sz w:val="26"/>
          <w:szCs w:val="26"/>
        </w:rPr>
        <w:t xml:space="preserve">7. 久期中枢</w:t>
      </w: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产品阶段性久期范围，通过组合久期反映——单券久期与持仓市值乘积同组合净资产之比，是债券组合利率风险的综合度量。作用：管理利率风险敞口；作为主动调控工具（预期利率上升缩短久期以降回撤，预期下降拉长久期以增厚收益）。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组合久期 = Σ Di × Wi（Di 为单券久期，Wi 为单券市值占组合净资产权重）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单券久期优先使用第三方估值推荐数据，管理人认为不合理可采用内部研究评估数据；存款等其他资产久期设为 0；单券市值采用基金估值表估值。</w:t>
      </w:r>
    </w:p>
    <w:p>
      <w:pPr>
        <w:spacing w:after="100" w:before="200"/>
      </w:pPr>
      <w:r>
        <w:rPr>
          <w:rFonts w:ascii="微软雅黑" w:eastAsia="微软雅黑" w:hAnsi="微软雅黑"/>
          <w:b/>
          <w:bCs/>
          <w:sz w:val="26"/>
          <w:szCs w:val="26"/>
        </w:rPr>
        <w:t xml:space="preserve">8. 信用风险暴露集中度</w:t>
      </w: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分析持仓债券信用风险分布，通过行业、区域、内外部评级等维度监测持仓信用债风险暴露分布，防止与基金主题、基准发生重大偏离。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（定性监测指标，无统一公式）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信用评级可采用市场认可度高的外部第三方评级、隐含评级或内部评级，推荐采用内部或隐含评级。</w:t>
      </w:r>
    </w:p>
    <w:p>
      <w:pPr>
        <w:spacing w:after="100" w:before="200"/>
      </w:pPr>
      <w:r>
        <w:rPr>
          <w:rFonts w:ascii="微软雅黑" w:eastAsia="微软雅黑" w:hAnsi="微软雅黑"/>
          <w:b/>
          <w:bCs/>
          <w:sz w:val="26"/>
          <w:szCs w:val="26"/>
        </w:rPr>
        <w:t xml:space="preserve">9. 最大回撤（MDD）</w:t>
      </w: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投资组合在一段历史区间内发生过的最大亏损，即投资者在该区间的最大潜在损失。作用：衡量极端风险承受力（比波动率更贴近实际体验）；辅助策略优化（设置阈值建立止损机制）；投资者承受力匹配（提供直观的风险锚点）。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复权单位净值：Pt = Pt−1 × (1 + rt)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MDD = max[(Pi − Pj) / Pi]（Pi 为峰值，Pj 为其后谷值，j &gt; i）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须基于复权单位净值计算。</w:t>
      </w:r>
    </w:p>
    <w:p>
      <w:pPr>
        <w:pStyle w:val="Heading1"/>
      </w:pPr>
      <w:r>
        <w:rPr>
          <w:rFonts w:ascii="微软雅黑" w:eastAsia="微软雅黑" w:hAnsi="微软雅黑"/>
        </w:rPr>
        <w:t xml:space="preserve">二、基准收益率计算方法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总原则：以每日收益率为基础，以时间加权为计算原则。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组合要素基准（两个及以上指数/利率/合约价格构成）：先分别计算各要素日收益率，再按预设权重加权得当日基准日收益率，并通过每日连乘动态再平衡，确保要素结构始终符合基金合同要求。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固定利率类日收益率 = (固定利率 + 加点) / 当年实际总天数；节假日后第一个工作日包含节假日收益。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单一指数：优先采用指数公司公布的日收益率；未公布时提取当日点位 C(t) 与前一日点位 C(t−1)，R(t) = C(t)/C(t−1) − 1，区间收益按日连乘。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多指数合成：分别计算各指数日收益率后加权合成 R(t) = 权重A × Ra(t) + 权重B × Rb(t)，区间收益按日连乘。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合约价格要素：无论价格类型，均视同与指数等同的基准要素，按基金合同约定选取价格数据，按指数要素方法计算。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境外指数：以基金合同规定的估值日为基础计算，采用该基金的估值汇率折算，保证业绩与基准的一致性、可比性；汇率原则上按合同约定、采用估值汇率。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精度与截位：日收益率四舍五入保留 8 位小数；计算结果非货币基金保留 4 位小数、货币基金保留 6 位小数；基准点位（指数行情、合约价格、汇率等）采用发布机构原始点位，不做截位处理。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季末年末及节假日：选取基准最近一个指数披露日的收盘点位。</w:t>
      </w:r>
    </w:p>
    <w:p>
      <w:pPr>
        <w:pStyle w:val="Heading1"/>
      </w:pPr>
      <w:r>
        <w:rPr>
          <w:rFonts w:ascii="微软雅黑" w:eastAsia="微软雅黑" w:hAnsi="微软雅黑"/>
        </w:rPr>
        <w:t xml:space="preserve">三、基准示例（按基金类型）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2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 xml:space="preserve">基金类型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 xml:space="preserve">典型基准构成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 xml:space="preserve">关键规则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股票型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股票指数×95% + 活期存款基准利率×5%；可含中证港股通综合指数（人民币/港元）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要素权重原则上为整数；人民币/港元计价指数须在官方全称后标注币种；存款须写“基准利率”以区分人银与市场化利率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混合型（除对冲策略）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沪深300 + 恒生指数 + 中债综合财富；或以中债指数为主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非人民币指数需汇率折算但基准表述中不单独强调，由管理人在法律文件说明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债券型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纯债：债券指数（标明久期、总值/财富等）或 + 一年期定期存款基准利率；含权债基：+ 中证可转债指数 / 沪深300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定期存款一般指“整存整取”；对冲策略混合基金、摊余成本法债券基金使用存款利率作为基准（脚注）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FOF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中证偏股型/债券型基金指数组合；或股债指数；可加商品（上金所 AU99.99 现货合约）或境外指数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每大类资产原则上只选 1 个要素；单一要素权重原则上不低于 3%；某大类资产占比超 10% 且确有必要可用两个要素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QDII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纳斯达克100、MSCI 全球、摩根大通全球债券、彭博全球综合债、标普高盛原油商品指数等 + 人民币活期存款基准利率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表述参考对应非 QDII 类型；境外英文指数须同时写中文翻译全称和英文官方全称；须标明存款币种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货币型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七天通知存款基准利率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单一要素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中债指数备注：中债指数分净价、全价、财富及总值和不同久期，中债官网暂无子指数全称，基准中须按细则展示要求标明久期（如有）、不同利息或分红处理方式。</w:t>
      </w:r>
    </w:p>
    <w:p>
      <w:pPr>
        <w:pBdr>
          <w:top w:val="single" w:color="BFBFBF" w:sz="4" w:space="4"/>
        </w:pBdr>
        <w:spacing w:before="300"/>
      </w:pPr>
      <w:r>
        <w:rPr>
          <w:rFonts w:ascii="宋体" w:eastAsia="宋体" w:hAnsi="宋体"/>
          <w:color w:val="808080"/>
          <w:sz w:val="20"/>
          <w:szCs w:val="20"/>
        </w:rPr>
        <w:t xml:space="preserve">说明：本文档依据附件3扫描版 PDF 经 OCR 识别整理，个别公式符号以原文为准。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eastAsia="宋体" w:hAnsi="宋体"/>
        <w:color w:val="808080"/>
        <w:sz w:val="18"/>
        <w:szCs w:val="18"/>
      </w:rPr>
      <w:t xml:space="preserve">第 </w:t>
    </w:r>
    <w:r>
      <w:rPr>
        <w:rFonts w:ascii="宋体" w:eastAsia="宋体" w:hAnsi="宋体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eastAsia="宋体" w:hAnsi="宋体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微软雅黑" w:eastAsia="微软雅黑" w:hAnsi="微软雅黑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微软雅黑" w:eastAsia="微软雅黑" w:hAnsi="微软雅黑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2026-10-20T15:51:45.968Z</dcterms:created>
  <dcterms:modified xsi:type="dcterms:W3CDTF">2026-10-20T15:51:45.971Z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