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0AB4" w:rsidRPr="005A664E" w:rsidRDefault="005A664E" w:rsidP="005A664E">
      <w:pPr>
        <w:jc w:val="center"/>
        <w:rPr>
          <w:rFonts w:ascii="Times New Roman" w:hAnsi="Times New Roman" w:cs="Times New Roman"/>
          <w:b/>
          <w:sz w:val="28"/>
        </w:rPr>
      </w:pPr>
      <w:proofErr w:type="spellStart"/>
      <w:r w:rsidRPr="005A664E">
        <w:rPr>
          <w:rFonts w:ascii="Times New Roman" w:hAnsi="Times New Roman" w:cs="Times New Roman"/>
          <w:b/>
          <w:sz w:val="28"/>
        </w:rPr>
        <w:t>Metaphor</w:t>
      </w:r>
      <w:proofErr w:type="spellEnd"/>
      <w:r w:rsidRPr="005A664E">
        <w:rPr>
          <w:rFonts w:ascii="Times New Roman" w:hAnsi="Times New Roman" w:cs="Times New Roman"/>
          <w:b/>
          <w:sz w:val="28"/>
        </w:rPr>
        <w:t>/</w:t>
      </w:r>
      <w:proofErr w:type="spellStart"/>
      <w:r w:rsidRPr="005A664E">
        <w:rPr>
          <w:rFonts w:ascii="Times New Roman" w:hAnsi="Times New Roman" w:cs="Times New Roman"/>
          <w:b/>
          <w:sz w:val="28"/>
        </w:rPr>
        <w:t>Architecture</w:t>
      </w:r>
      <w:proofErr w:type="spellEnd"/>
      <w:r w:rsidRPr="005A664E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5A664E">
        <w:rPr>
          <w:rFonts w:ascii="Times New Roman" w:hAnsi="Times New Roman" w:cs="Times New Roman"/>
          <w:b/>
          <w:sz w:val="28"/>
        </w:rPr>
        <w:t>Specification</w:t>
      </w:r>
      <w:proofErr w:type="spellEnd"/>
      <w:r w:rsidRPr="005A664E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5A664E">
        <w:rPr>
          <w:rFonts w:ascii="Times New Roman" w:hAnsi="Times New Roman" w:cs="Times New Roman"/>
          <w:b/>
          <w:sz w:val="28"/>
        </w:rPr>
        <w:t>Template</w:t>
      </w:r>
      <w:proofErr w:type="spellEnd"/>
    </w:p>
    <w:tbl>
      <w:tblPr>
        <w:tblW w:w="0" w:type="auto"/>
        <w:tblLook w:val="0000" w:firstRow="0" w:lastRow="0" w:firstColumn="0" w:lastColumn="0" w:noHBand="0" w:noVBand="0"/>
      </w:tblPr>
      <w:tblGrid>
        <w:gridCol w:w="1638"/>
        <w:gridCol w:w="3047"/>
        <w:gridCol w:w="1262"/>
        <w:gridCol w:w="807"/>
        <w:gridCol w:w="2084"/>
      </w:tblGrid>
      <w:tr w:rsidR="005A664E" w:rsidRPr="005A664E" w:rsidTr="005A664E"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</w:tcPr>
          <w:p w:rsidR="005A664E" w:rsidRPr="005A664E" w:rsidRDefault="005A664E" w:rsidP="005A66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Student</w:t>
            </w:r>
          </w:p>
        </w:tc>
        <w:tc>
          <w:tcPr>
            <w:tcW w:w="430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A664E" w:rsidRPr="005A664E" w:rsidRDefault="005A664E" w:rsidP="005A66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A66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Javier Mesa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</w:tcPr>
          <w:p w:rsidR="005A664E" w:rsidRPr="005A664E" w:rsidRDefault="005A664E" w:rsidP="005A664E">
            <w:pPr>
              <w:keepNext/>
              <w:spacing w:after="0" w:line="240" w:lineRule="auto"/>
              <w:jc w:val="right"/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A66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20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A664E" w:rsidRPr="005A664E" w:rsidRDefault="005A664E" w:rsidP="005A66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A66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5A66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/04/2017</w:t>
            </w:r>
          </w:p>
        </w:tc>
      </w:tr>
      <w:tr w:rsidR="005A664E" w:rsidRPr="005A664E" w:rsidTr="005A664E"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</w:tcPr>
          <w:p w:rsidR="005A664E" w:rsidRPr="005A664E" w:rsidRDefault="005A664E" w:rsidP="005A66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A66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ogram</w:t>
            </w:r>
          </w:p>
        </w:tc>
        <w:tc>
          <w:tcPr>
            <w:tcW w:w="30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A664E" w:rsidRPr="005A664E" w:rsidRDefault="005A664E" w:rsidP="005A66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A66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PSP2</w:t>
            </w:r>
          </w:p>
        </w:tc>
        <w:tc>
          <w:tcPr>
            <w:tcW w:w="12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A664E" w:rsidRPr="005A664E" w:rsidRDefault="005A664E" w:rsidP="005A664E">
            <w:pPr>
              <w:keepNext/>
              <w:spacing w:after="0" w:line="240" w:lineRule="auto"/>
              <w:jc w:val="right"/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A66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ogram #</w:t>
            </w:r>
          </w:p>
        </w:tc>
        <w:tc>
          <w:tcPr>
            <w:tcW w:w="28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A664E" w:rsidRPr="005A664E" w:rsidRDefault="005A664E" w:rsidP="005A66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5A664E" w:rsidRPr="005A664E" w:rsidTr="005A664E"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</w:tcPr>
          <w:p w:rsidR="005A664E" w:rsidRPr="005A664E" w:rsidRDefault="005A664E" w:rsidP="005A66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Instructor</w:t>
            </w:r>
          </w:p>
        </w:tc>
        <w:tc>
          <w:tcPr>
            <w:tcW w:w="30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A664E" w:rsidRPr="005A664E" w:rsidRDefault="005A664E" w:rsidP="005A66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Mario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Riveros</w:t>
            </w:r>
            <w:proofErr w:type="spellEnd"/>
          </w:p>
        </w:tc>
        <w:tc>
          <w:tcPr>
            <w:tcW w:w="12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A664E" w:rsidRPr="005A664E" w:rsidRDefault="005A664E" w:rsidP="005A664E">
            <w:pPr>
              <w:keepNext/>
              <w:spacing w:after="0" w:line="240" w:lineRule="auto"/>
              <w:jc w:val="right"/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Language</w:t>
            </w:r>
          </w:p>
        </w:tc>
        <w:tc>
          <w:tcPr>
            <w:tcW w:w="28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A664E" w:rsidRPr="005A664E" w:rsidRDefault="005A664E" w:rsidP="005A66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Java</w:t>
            </w:r>
          </w:p>
        </w:tc>
      </w:tr>
    </w:tbl>
    <w:p w:rsidR="005A664E" w:rsidRDefault="005A664E"/>
    <w:p w:rsidR="005A664E" w:rsidRDefault="005A664E"/>
    <w:tbl>
      <w:tblPr>
        <w:tblW w:w="0" w:type="auto"/>
        <w:tblLook w:val="0000" w:firstRow="0" w:lastRow="0" w:firstColumn="0" w:lastColumn="0" w:noHBand="0" w:noVBand="0"/>
      </w:tblPr>
      <w:tblGrid>
        <w:gridCol w:w="1638"/>
        <w:gridCol w:w="7200"/>
      </w:tblGrid>
      <w:tr w:rsidR="005A664E" w:rsidRPr="005A664E" w:rsidTr="0039252F">
        <w:tc>
          <w:tcPr>
            <w:tcW w:w="1638" w:type="dxa"/>
            <w:vMerge w:val="restart"/>
            <w:tcBorders>
              <w:top w:val="nil"/>
              <w:left w:val="nil"/>
              <w:right w:val="nil"/>
            </w:tcBorders>
          </w:tcPr>
          <w:p w:rsidR="005A664E" w:rsidRPr="005A664E" w:rsidRDefault="005A664E" w:rsidP="00B519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A664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Design</w:t>
            </w:r>
          </w:p>
          <w:p w:rsidR="005A664E" w:rsidRPr="005A664E" w:rsidRDefault="005A664E" w:rsidP="00B519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A664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References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A664E" w:rsidRPr="005A664E" w:rsidRDefault="00504573" w:rsidP="00B519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045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Functional Specification</w:t>
            </w:r>
          </w:p>
        </w:tc>
      </w:tr>
      <w:tr w:rsidR="005A664E" w:rsidRPr="005A664E" w:rsidTr="00C93FDE">
        <w:tc>
          <w:tcPr>
            <w:tcW w:w="1638" w:type="dxa"/>
            <w:vMerge/>
            <w:tcBorders>
              <w:left w:val="nil"/>
              <w:right w:val="nil"/>
            </w:tcBorders>
          </w:tcPr>
          <w:p w:rsidR="005A664E" w:rsidRPr="005A664E" w:rsidRDefault="005A664E" w:rsidP="00B519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A664E" w:rsidRPr="005A664E" w:rsidRDefault="00504573" w:rsidP="00B519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045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Operational Scenarios</w:t>
            </w:r>
            <w:bookmarkStart w:id="0" w:name="_GoBack"/>
            <w:bookmarkEnd w:id="0"/>
          </w:p>
        </w:tc>
      </w:tr>
      <w:tr w:rsidR="005A664E" w:rsidRPr="005A664E" w:rsidTr="005A664E">
        <w:tc>
          <w:tcPr>
            <w:tcW w:w="1638" w:type="dxa"/>
            <w:vMerge/>
            <w:tcBorders>
              <w:left w:val="nil"/>
              <w:right w:val="nil"/>
            </w:tcBorders>
          </w:tcPr>
          <w:p w:rsidR="005A664E" w:rsidRPr="005A664E" w:rsidRDefault="005A664E" w:rsidP="00B519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A664E" w:rsidRPr="005A664E" w:rsidRDefault="00504573" w:rsidP="00B519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045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State Specification</w:t>
            </w:r>
          </w:p>
        </w:tc>
      </w:tr>
      <w:tr w:rsidR="005A664E" w:rsidRPr="005A664E" w:rsidTr="005A664E">
        <w:tc>
          <w:tcPr>
            <w:tcW w:w="1638" w:type="dxa"/>
            <w:tcBorders>
              <w:left w:val="nil"/>
              <w:right w:val="nil"/>
            </w:tcBorders>
          </w:tcPr>
          <w:p w:rsidR="005A664E" w:rsidRPr="005A664E" w:rsidRDefault="005A664E" w:rsidP="00B519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A664E" w:rsidRPr="005A664E" w:rsidRDefault="005A664E" w:rsidP="00B519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A664E" w:rsidRPr="005A664E" w:rsidTr="00A262C5">
        <w:tc>
          <w:tcPr>
            <w:tcW w:w="1638" w:type="dxa"/>
            <w:tcBorders>
              <w:left w:val="nil"/>
              <w:bottom w:val="nil"/>
              <w:right w:val="nil"/>
            </w:tcBorders>
          </w:tcPr>
          <w:p w:rsidR="005A664E" w:rsidRPr="005A664E" w:rsidRDefault="005A664E" w:rsidP="00B519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A664E" w:rsidRPr="005A664E" w:rsidRDefault="005A664E" w:rsidP="00B519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5A664E" w:rsidRPr="00B00A41" w:rsidRDefault="005A664E">
      <w:pPr>
        <w:rPr>
          <w:lang w:val="en-US"/>
        </w:rPr>
      </w:pPr>
    </w:p>
    <w:p w:rsidR="005A664E" w:rsidRPr="00B00A41" w:rsidRDefault="005A664E">
      <w:pPr>
        <w:rPr>
          <w:rFonts w:ascii="Times New Roman" w:hAnsi="Times New Roman" w:cs="Times New Roman"/>
          <w:b/>
          <w:sz w:val="24"/>
          <w:lang w:val="en-US"/>
        </w:rPr>
      </w:pPr>
      <w:r w:rsidRPr="00B00A41">
        <w:rPr>
          <w:rFonts w:ascii="Times New Roman" w:hAnsi="Times New Roman" w:cs="Times New Roman"/>
          <w:b/>
          <w:sz w:val="24"/>
          <w:lang w:val="en-US"/>
        </w:rPr>
        <w:t>Graphical representation of the metaphor</w:t>
      </w:r>
    </w:p>
    <w:p w:rsidR="00F023D1" w:rsidRPr="00B00A41" w:rsidRDefault="00F023D1">
      <w:pPr>
        <w:rPr>
          <w:rFonts w:ascii="Times New Roman" w:hAnsi="Times New Roman" w:cs="Times New Roman"/>
          <w:b/>
          <w:sz w:val="24"/>
          <w:lang w:val="en-US"/>
        </w:rPr>
      </w:pPr>
    </w:p>
    <w:p w:rsidR="005A664E" w:rsidRPr="00B00A41" w:rsidRDefault="00F023D1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noProof/>
          <w:lang w:eastAsia="es-CO"/>
        </w:rPr>
        <w:drawing>
          <wp:inline distT="0" distB="0" distL="0" distR="0" wp14:anchorId="54388796" wp14:editId="3FA54E16">
            <wp:extent cx="5612130" cy="22802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64E" w:rsidRPr="00B00A41" w:rsidRDefault="005A664E">
      <w:pPr>
        <w:rPr>
          <w:rFonts w:ascii="Times New Roman" w:hAnsi="Times New Roman" w:cs="Times New Roman"/>
          <w:b/>
          <w:sz w:val="24"/>
          <w:lang w:val="en-US"/>
        </w:rPr>
      </w:pPr>
    </w:p>
    <w:p w:rsidR="005A664E" w:rsidRPr="00B00A41" w:rsidRDefault="005A664E">
      <w:pPr>
        <w:rPr>
          <w:rFonts w:ascii="Times New Roman" w:hAnsi="Times New Roman" w:cs="Times New Roman"/>
          <w:b/>
          <w:sz w:val="24"/>
          <w:lang w:val="en-US"/>
        </w:rPr>
      </w:pPr>
    </w:p>
    <w:p w:rsidR="005A664E" w:rsidRPr="00B00A41" w:rsidRDefault="005A664E">
      <w:pPr>
        <w:rPr>
          <w:rFonts w:ascii="Times New Roman" w:hAnsi="Times New Roman" w:cs="Times New Roman"/>
          <w:b/>
          <w:sz w:val="24"/>
          <w:lang w:val="en-US"/>
        </w:rPr>
      </w:pPr>
    </w:p>
    <w:p w:rsidR="005A664E" w:rsidRPr="00B00A41" w:rsidRDefault="005A664E">
      <w:pPr>
        <w:rPr>
          <w:rFonts w:ascii="Times New Roman" w:hAnsi="Times New Roman" w:cs="Times New Roman"/>
          <w:b/>
          <w:sz w:val="24"/>
          <w:lang w:val="en-US"/>
        </w:rPr>
      </w:pPr>
      <w:r w:rsidRPr="00B00A41">
        <w:rPr>
          <w:rFonts w:ascii="Times New Roman" w:hAnsi="Times New Roman" w:cs="Times New Roman"/>
          <w:b/>
          <w:sz w:val="24"/>
          <w:lang w:val="en-US"/>
        </w:rPr>
        <w:t>Textual representation of metaphor</w:t>
      </w:r>
    </w:p>
    <w:p w:rsidR="005A664E" w:rsidRPr="00F023D1" w:rsidRDefault="00F023D1" w:rsidP="00F023D1">
      <w:pPr>
        <w:jc w:val="both"/>
        <w:rPr>
          <w:rFonts w:ascii="Times New Roman" w:hAnsi="Times New Roman" w:cs="Times New Roman"/>
          <w:sz w:val="24"/>
          <w:lang w:val="en-US"/>
        </w:rPr>
      </w:pPr>
      <w:r w:rsidRPr="00F023D1">
        <w:rPr>
          <w:rFonts w:ascii="Times New Roman" w:hAnsi="Times New Roman" w:cs="Times New Roman"/>
          <w:sz w:val="24"/>
          <w:lang w:val="en-US"/>
        </w:rPr>
        <w:t xml:space="preserve">The user enters opens a window of his preferred browser, and writes the </w:t>
      </w:r>
      <w:proofErr w:type="spellStart"/>
      <w:r w:rsidRPr="00F023D1">
        <w:rPr>
          <w:rFonts w:ascii="Times New Roman" w:hAnsi="Times New Roman" w:cs="Times New Roman"/>
          <w:sz w:val="24"/>
          <w:lang w:val="en-US"/>
        </w:rPr>
        <w:t>url</w:t>
      </w:r>
      <w:proofErr w:type="spellEnd"/>
      <w:r w:rsidRPr="00F023D1">
        <w:rPr>
          <w:rFonts w:ascii="Times New Roman" w:hAnsi="Times New Roman" w:cs="Times New Roman"/>
          <w:sz w:val="24"/>
          <w:lang w:val="en-US"/>
        </w:rPr>
        <w:t xml:space="preserve"> of the application, enters the parameters of </w:t>
      </w:r>
      <w:r w:rsidRPr="00F023D1">
        <w:rPr>
          <w:rFonts w:ascii="Times New Roman" w:hAnsi="Times New Roman" w:cs="Times New Roman"/>
          <w:b/>
          <w:i/>
          <w:sz w:val="24"/>
          <w:lang w:val="en-US"/>
        </w:rPr>
        <w:t>x from</w:t>
      </w:r>
      <w:r w:rsidRPr="00F023D1">
        <w:rPr>
          <w:rFonts w:ascii="Times New Roman" w:hAnsi="Times New Roman" w:cs="Times New Roman"/>
          <w:sz w:val="24"/>
          <w:lang w:val="en-US"/>
        </w:rPr>
        <w:t xml:space="preserve">, </w:t>
      </w:r>
      <w:r w:rsidRPr="00F023D1">
        <w:rPr>
          <w:rFonts w:ascii="Times New Roman" w:hAnsi="Times New Roman" w:cs="Times New Roman"/>
          <w:b/>
          <w:i/>
          <w:sz w:val="24"/>
          <w:lang w:val="en-US"/>
        </w:rPr>
        <w:t>x to</w:t>
      </w:r>
      <w:r w:rsidRPr="00F023D1">
        <w:rPr>
          <w:rFonts w:ascii="Times New Roman" w:hAnsi="Times New Roman" w:cs="Times New Roman"/>
          <w:sz w:val="24"/>
          <w:lang w:val="en-US"/>
        </w:rPr>
        <w:t xml:space="preserve"> and </w:t>
      </w:r>
      <w:proofErr w:type="spellStart"/>
      <w:r w:rsidRPr="00F023D1">
        <w:rPr>
          <w:rFonts w:ascii="Times New Roman" w:hAnsi="Times New Roman" w:cs="Times New Roman"/>
          <w:b/>
          <w:i/>
          <w:sz w:val="24"/>
          <w:lang w:val="en-US"/>
        </w:rPr>
        <w:t>dof</w:t>
      </w:r>
      <w:proofErr w:type="spellEnd"/>
      <w:r w:rsidRPr="00F023D1">
        <w:rPr>
          <w:rFonts w:ascii="Times New Roman" w:hAnsi="Times New Roman" w:cs="Times New Roman"/>
          <w:sz w:val="24"/>
          <w:lang w:val="en-US"/>
        </w:rPr>
        <w:t>. The application makes the necessary calculations and prints on the page the expected value for the values you enter and the user is happy with the result.</w:t>
      </w:r>
    </w:p>
    <w:sectPr w:rsidR="005A664E" w:rsidRPr="00F023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64E"/>
    <w:rsid w:val="003D3D52"/>
    <w:rsid w:val="003E6301"/>
    <w:rsid w:val="00504573"/>
    <w:rsid w:val="005A664E"/>
    <w:rsid w:val="00700AB4"/>
    <w:rsid w:val="00B00A41"/>
    <w:rsid w:val="00BA03BA"/>
    <w:rsid w:val="00F02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A1B8C"/>
  <w15:chartTrackingRefBased/>
  <w15:docId w15:val="{FE868DEF-254D-4A6F-8E08-15A9839D0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9"/>
    <w:qFormat/>
    <w:rsid w:val="005A664E"/>
    <w:pPr>
      <w:keepNext/>
      <w:spacing w:after="0" w:line="240" w:lineRule="auto"/>
      <w:jc w:val="right"/>
      <w:outlineLvl w:val="0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rsid w:val="005A664E"/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Hipervnculo">
    <w:name w:val="Hyperlink"/>
    <w:basedOn w:val="Fuentedeprrafopredeter"/>
    <w:uiPriority w:val="99"/>
    <w:unhideWhenUsed/>
    <w:rsid w:val="00B00A41"/>
    <w:rPr>
      <w:color w:val="0563C1" w:themeColor="hyperlink"/>
      <w:u w:val="single"/>
    </w:rPr>
  </w:style>
  <w:style w:type="character" w:styleId="Mencionar">
    <w:name w:val="Mention"/>
    <w:basedOn w:val="Fuentedeprrafopredeter"/>
    <w:uiPriority w:val="99"/>
    <w:semiHidden/>
    <w:unhideWhenUsed/>
    <w:rsid w:val="00B00A41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96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Mesa</dc:creator>
  <cp:keywords/>
  <dc:description/>
  <cp:lastModifiedBy>Javier Mesa</cp:lastModifiedBy>
  <cp:revision>4</cp:revision>
  <dcterms:created xsi:type="dcterms:W3CDTF">2017-04-02T21:45:00Z</dcterms:created>
  <dcterms:modified xsi:type="dcterms:W3CDTF">2017-04-04T00:23:00Z</dcterms:modified>
</cp:coreProperties>
</file>