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jc w:val="center"/>
        <w:rPr>
          <w:rFonts w:ascii="Inter" w:hAnsi="Inter" w:eastAsia="Inter" w:cs="Inter"/>
        </w:rPr>
      </w:pPr>
      <w:bookmarkStart w:id="0" w:name="_gjdgxs"/>
      <w:bookmarkEnd w:id="0"/>
      <w:r>
        <w:rPr>
          <w:rFonts w:eastAsia="Inter" w:cs="Inter" w:ascii="Inter" w:hAnsi="Inter"/>
          <w:b/>
          <w:sz w:val="50"/>
          <w:szCs w:val="50"/>
        </w:rPr>
        <w:t>Plan prévisionnel</w:t>
      </w:r>
    </w:p>
    <w:p>
      <w:pPr>
        <w:pStyle w:val="Heading2"/>
        <w:spacing w:lineRule="auto" w:line="276"/>
        <w:rPr>
          <w:rFonts w:ascii="Inter" w:hAnsi="Inter" w:eastAsia="Inter" w:cs="Inter"/>
          <w:b/>
        </w:rPr>
      </w:pPr>
      <w:bookmarkStart w:id="1" w:name="_p0ctbo5gy1xb"/>
      <w:bookmarkEnd w:id="1"/>
      <w:r>
        <w:rPr>
          <w:rFonts w:eastAsia="Inter" w:cs="Inter" w:ascii="Inter" w:hAnsi="Inter"/>
          <w:b/>
        </w:rPr>
        <w:t>Dataset retenu</w:t>
      </w:r>
    </w:p>
    <w:p>
      <w:pPr>
        <w:pStyle w:val="BodyText"/>
        <w:spacing w:lineRule="auto" w:line="276"/>
        <w:rPr/>
      </w:pPr>
      <w:r>
        <w:rPr>
          <w:rFonts w:eastAsia="Inter" w:cs="Inter" w:ascii="Arial" w:hAnsi="Arial"/>
          <w:b w:val="false"/>
          <w:bCs w:val="false"/>
          <w:sz w:val="24"/>
          <w:szCs w:val="24"/>
        </w:rPr>
        <w:t xml:space="preserve">Le dataset utilisé est intitulé </w:t>
      </w:r>
      <w:hyperlink r:id="rId2" w:tgtFrame="_new">
        <w:r>
          <w:rPr>
            <w:rStyle w:val="Hyperlink"/>
            <w:rFonts w:eastAsia="Inter" w:cs="Inter" w:ascii="Arial" w:hAnsi="Arial"/>
            <w:b w:val="false"/>
            <w:bCs w:val="false"/>
            <w:sz w:val="24"/>
            <w:szCs w:val="24"/>
          </w:rPr>
          <w:t>Walmart Sales Forecast Datasets</w:t>
        </w:r>
      </w:hyperlink>
      <w:r>
        <w:rPr>
          <w:rFonts w:eastAsia="Inter" w:cs="Inter" w:ascii="Arial" w:hAnsi="Arial"/>
          <w:b w:val="false"/>
          <w:bCs w:val="false"/>
          <w:sz w:val="24"/>
          <w:szCs w:val="24"/>
        </w:rPr>
        <w:t>. Ce dataset contient des données hebdomadaires de ventes pour 45 magasins Walmart, regroupant plusieurs départements sur une période allant de 2010 à 2012.</w:t>
      </w:r>
    </w:p>
    <w:p>
      <w:pPr>
        <w:pStyle w:val="BodyText"/>
        <w:rPr>
          <w:rFonts w:ascii="Arial" w:hAnsi="Arial"/>
          <w:sz w:val="24"/>
          <w:szCs w:val="24"/>
        </w:rPr>
      </w:pPr>
      <w:r>
        <w:rPr>
          <w:rFonts w:ascii="Arial" w:hAnsi="Arial"/>
          <w:sz w:val="24"/>
          <w:szCs w:val="24"/>
        </w:rPr>
        <w:t>Les principales caractéristiques du dataset incluent :</w:t>
      </w:r>
    </w:p>
    <w:p>
      <w:pPr>
        <w:pStyle w:val="BodyText"/>
        <w:numPr>
          <w:ilvl w:val="0"/>
          <w:numId w:val="3"/>
        </w:numPr>
        <w:tabs>
          <w:tab w:val="clear" w:pos="720"/>
          <w:tab w:val="left" w:pos="0" w:leader="none"/>
        </w:tabs>
        <w:spacing w:before="0" w:after="0"/>
        <w:ind w:hanging="283" w:left="709"/>
        <w:rPr/>
      </w:pPr>
      <w:r>
        <w:rPr>
          <w:rStyle w:val="Strong"/>
          <w:rFonts w:ascii="Arial" w:hAnsi="Arial"/>
          <w:sz w:val="24"/>
          <w:szCs w:val="24"/>
        </w:rPr>
        <w:t>Store</w:t>
      </w:r>
      <w:r>
        <w:rPr>
          <w:rFonts w:ascii="Arial" w:hAnsi="Arial"/>
          <w:sz w:val="24"/>
          <w:szCs w:val="24"/>
        </w:rPr>
        <w:t xml:space="preserve"> : Identifiant unique de chaque magasin.</w:t>
      </w:r>
    </w:p>
    <w:p>
      <w:pPr>
        <w:pStyle w:val="BodyText"/>
        <w:numPr>
          <w:ilvl w:val="0"/>
          <w:numId w:val="3"/>
        </w:numPr>
        <w:tabs>
          <w:tab w:val="clear" w:pos="720"/>
          <w:tab w:val="left" w:pos="0" w:leader="none"/>
        </w:tabs>
        <w:spacing w:before="0" w:after="0"/>
        <w:ind w:hanging="283" w:left="709"/>
        <w:rPr/>
      </w:pPr>
      <w:r>
        <w:rPr>
          <w:rStyle w:val="Strong"/>
          <w:rFonts w:ascii="Arial" w:hAnsi="Arial"/>
          <w:sz w:val="24"/>
          <w:szCs w:val="24"/>
        </w:rPr>
        <w:t>Dept</w:t>
      </w:r>
      <w:r>
        <w:rPr>
          <w:rFonts w:ascii="Arial" w:hAnsi="Arial"/>
          <w:sz w:val="24"/>
          <w:szCs w:val="24"/>
        </w:rPr>
        <w:t xml:space="preserve"> : Identifiant unique pour chaque département dans un magasin.</w:t>
      </w:r>
    </w:p>
    <w:p>
      <w:pPr>
        <w:pStyle w:val="BodyText"/>
        <w:numPr>
          <w:ilvl w:val="0"/>
          <w:numId w:val="3"/>
        </w:numPr>
        <w:tabs>
          <w:tab w:val="clear" w:pos="720"/>
          <w:tab w:val="left" w:pos="0" w:leader="none"/>
        </w:tabs>
        <w:spacing w:before="0" w:after="0"/>
        <w:ind w:hanging="283" w:left="709"/>
        <w:rPr/>
      </w:pPr>
      <w:r>
        <w:rPr>
          <w:rStyle w:val="Strong"/>
          <w:rFonts w:ascii="Arial" w:hAnsi="Arial"/>
          <w:sz w:val="24"/>
          <w:szCs w:val="24"/>
        </w:rPr>
        <w:t>Date</w:t>
      </w:r>
      <w:r>
        <w:rPr>
          <w:rFonts w:ascii="Arial" w:hAnsi="Arial"/>
          <w:sz w:val="24"/>
          <w:szCs w:val="24"/>
        </w:rPr>
        <w:t xml:space="preserve"> : Date correspondant à chaque semaine de collecte des données.</w:t>
      </w:r>
    </w:p>
    <w:p>
      <w:pPr>
        <w:pStyle w:val="BodyText"/>
        <w:numPr>
          <w:ilvl w:val="0"/>
          <w:numId w:val="3"/>
        </w:numPr>
        <w:tabs>
          <w:tab w:val="clear" w:pos="720"/>
          <w:tab w:val="left" w:pos="0" w:leader="none"/>
        </w:tabs>
        <w:spacing w:before="0" w:after="0"/>
        <w:ind w:hanging="283" w:left="709"/>
        <w:rPr/>
      </w:pPr>
      <w:r>
        <w:rPr>
          <w:rStyle w:val="Strong"/>
          <w:rFonts w:ascii="Arial" w:hAnsi="Arial"/>
          <w:sz w:val="24"/>
          <w:szCs w:val="24"/>
        </w:rPr>
        <w:t>Weekly_Sales</w:t>
      </w:r>
      <w:r>
        <w:rPr>
          <w:rFonts w:ascii="Arial" w:hAnsi="Arial"/>
          <w:sz w:val="24"/>
          <w:szCs w:val="24"/>
        </w:rPr>
        <w:t xml:space="preserve"> : Montant total des ventes hebdomadaires pour un département donné.</w:t>
      </w:r>
    </w:p>
    <w:p>
      <w:pPr>
        <w:pStyle w:val="BodyText"/>
        <w:numPr>
          <w:ilvl w:val="0"/>
          <w:numId w:val="3"/>
        </w:numPr>
        <w:tabs>
          <w:tab w:val="clear" w:pos="720"/>
          <w:tab w:val="left" w:pos="0" w:leader="none"/>
        </w:tabs>
        <w:ind w:hanging="283" w:left="709"/>
        <w:rPr/>
      </w:pPr>
      <w:r>
        <w:rPr>
          <w:rStyle w:val="Strong"/>
          <w:rFonts w:ascii="Arial" w:hAnsi="Arial"/>
          <w:sz w:val="24"/>
          <w:szCs w:val="24"/>
        </w:rPr>
        <w:t>IsHoliday</w:t>
      </w:r>
      <w:r>
        <w:rPr>
          <w:rFonts w:ascii="Arial" w:hAnsi="Arial"/>
          <w:sz w:val="24"/>
          <w:szCs w:val="24"/>
        </w:rPr>
        <w:t xml:space="preserve"> : Indicateur binaire précisant si la semaine inclut une période promotionnelle ou un jour férié.</w:t>
      </w:r>
    </w:p>
    <w:p>
      <w:pPr>
        <w:pStyle w:val="BodyText"/>
        <w:rPr>
          <w:rFonts w:ascii="Arial" w:hAnsi="Arial"/>
        </w:rPr>
      </w:pPr>
      <w:r>
        <w:rPr>
          <w:rFonts w:ascii="Arial" w:hAnsi="Arial"/>
          <w:sz w:val="24"/>
          <w:szCs w:val="24"/>
        </w:rPr>
        <w:t>Ce dataset est cependant déséquilibré, certaines semaines ou certains départements ayant des volumes de ventes significativement plus élevés que d'autres. Cela en fait un cas d'étude réaliste pour des problématiques de prévision des ventes dans un environnement réel.</w:t>
      </w:r>
    </w:p>
    <w:p>
      <w:pPr>
        <w:pStyle w:val="Normal1"/>
        <w:spacing w:lineRule="auto" w:line="276"/>
        <w:rPr>
          <w:rFonts w:ascii="Inter" w:hAnsi="Inter" w:eastAsia="Inter" w:cs="Inter"/>
          <w:b/>
        </w:rPr>
      </w:pPr>
      <w:r>
        <w:rPr>
          <w:rFonts w:eastAsia="Inter" w:cs="Inter" w:ascii="Inter" w:hAnsi="Inter"/>
          <w:b/>
        </w:rPr>
      </w:r>
    </w:p>
    <w:p>
      <w:pPr>
        <w:pStyle w:val="Normal1"/>
        <w:spacing w:lineRule="auto" w:line="276"/>
        <w:rPr>
          <w:rFonts w:ascii="Inter" w:hAnsi="Inter" w:eastAsia="Inter" w:cs="Inter"/>
          <w:b/>
        </w:rPr>
      </w:pPr>
      <w:r>
        <w:rPr>
          <w:rFonts w:eastAsia="Inter" w:cs="Inter" w:ascii="Inter" w:hAnsi="Inter"/>
          <w:b/>
          <w:i/>
          <w:color w:val="B7B7B7"/>
          <w:sz w:val="20"/>
          <w:szCs w:val="20"/>
        </w:rPr>
        <w:t xml:space="preserve">Feature engineering : </w:t>
      </w:r>
      <w:hyperlink r:id="rId4">
        <w:r>
          <w:rPr>
            <w:rStyle w:val="Hyperlink"/>
            <w:rFonts w:eastAsia="Inter" w:cs="Inter" w:ascii="Inter" w:hAnsi="Inter"/>
            <w:b/>
            <w:i/>
            <w:color w:val="B7B7B7"/>
            <w:sz w:val="20"/>
            <w:szCs w:val="20"/>
          </w:rPr>
          <w:t>https://www.kaggle.com/code/aslanahmedov/walmart-sales-forecasting</w:t>
        </w:r>
      </w:hyperlink>
    </w:p>
    <w:p>
      <w:pPr>
        <w:pStyle w:val="Normal1"/>
        <w:spacing w:lineRule="auto" w:line="276"/>
        <w:rPr>
          <w:rFonts w:ascii="Inter" w:hAnsi="Inter" w:eastAsia="Inter" w:cs="Inter"/>
          <w:b/>
        </w:rPr>
      </w:pPr>
      <w:r>
        <w:rPr/>
      </w:r>
    </w:p>
    <w:p>
      <w:pPr>
        <w:pStyle w:val="Normal1"/>
        <w:spacing w:lineRule="auto" w:line="276"/>
        <w:rPr>
          <w:rFonts w:ascii="Inter" w:hAnsi="Inter" w:eastAsia="Inter" w:cs="Inter"/>
          <w:b/>
        </w:rPr>
      </w:pPr>
      <w:r>
        <w:rPr/>
      </w:r>
    </w:p>
    <w:p>
      <w:pPr>
        <w:pStyle w:val="Normal1"/>
        <w:spacing w:lineRule="auto" w:line="276"/>
        <w:rPr>
          <w:rFonts w:ascii="Inter" w:hAnsi="Inter" w:eastAsia="Inter" w:cs="Inter"/>
          <w:b/>
        </w:rPr>
      </w:pPr>
      <w:r>
        <w:rPr/>
      </w:r>
    </w:p>
    <w:p>
      <w:pPr>
        <w:pStyle w:val="Heading2"/>
        <w:spacing w:lineRule="auto" w:line="276"/>
        <w:rPr>
          <w:rFonts w:ascii="Inter" w:hAnsi="Inter" w:eastAsia="Inter" w:cs="Inter"/>
          <w:b/>
        </w:rPr>
      </w:pPr>
      <w:r>
        <w:rPr/>
      </w:r>
      <w:r>
        <w:br w:type="page"/>
      </w:r>
    </w:p>
    <w:p>
      <w:pPr>
        <w:pStyle w:val="Heading2"/>
        <w:spacing w:lineRule="auto" w:line="276"/>
        <w:rPr>
          <w:rFonts w:ascii="Inter" w:hAnsi="Inter" w:eastAsia="Inter" w:cs="Inter"/>
          <w:b/>
        </w:rPr>
      </w:pPr>
      <w:bookmarkStart w:id="2" w:name="_30j0zll"/>
      <w:bookmarkEnd w:id="2"/>
      <w:r>
        <w:rPr>
          <w:rFonts w:eastAsia="Inter" w:cs="Inter" w:ascii="Inter" w:hAnsi="Inter"/>
          <w:b/>
        </w:rPr>
        <w:t>Modèle envisagé</w:t>
      </w:r>
    </w:p>
    <w:p>
      <w:pPr>
        <w:pStyle w:val="Heading4"/>
        <w:spacing w:lineRule="auto" w:line="276"/>
        <w:rPr>
          <w:rFonts w:ascii="Inter" w:hAnsi="Inter" w:eastAsia="Inter" w:cs="Inter"/>
          <w:i/>
          <w:i/>
          <w:color w:val="B7B7B7"/>
        </w:rPr>
      </w:pPr>
      <w:r>
        <w:rPr>
          <w:rFonts w:eastAsia="Inter" w:cs="Inter" w:ascii="Inter" w:hAnsi="Inter"/>
          <w:i/>
          <w:color w:val="B7B7B7"/>
        </w:rPr>
        <w:t>1. Objectif de l’algorithme et contexte d’utilisation :</w:t>
      </w:r>
    </w:p>
    <w:p>
      <w:pPr>
        <w:pStyle w:val="BodyText"/>
        <w:rPr/>
      </w:pPr>
      <w:r>
        <w:rPr/>
        <w:t xml:space="preserve">L'algorithme </w:t>
      </w:r>
      <w:r>
        <w:rPr>
          <w:rStyle w:val="Strong"/>
        </w:rPr>
        <w:t>Chronos</w:t>
      </w:r>
      <w:r>
        <w:rPr/>
        <w:t xml:space="preserve"> vise à fournir une méthode générale et efficace pour la prévision probabiliste des séries temporelles. Il utilise des architectures de modèles de langage (basées sur des transformeurs) pour traiter les séries temporelles en les transformant en séquences de "tokens" discrets. L'objectif est d'améliorer les performances en exploitant des modèles préentraînés sur des corpus vastes et diversifiés de données publiques, complétés par des données synthétiques. Le cadre de </w:t>
      </w:r>
      <w:r>
        <w:rPr>
          <w:rStyle w:val="Strong"/>
        </w:rPr>
        <w:t>Chronos</w:t>
      </w:r>
      <w:r>
        <w:rPr/>
        <w:t xml:space="preserve"> peut être utilisé dans divers contextes, notamment dans les domaines de la vente au détail pour soutenir la prise de décision.</w:t>
      </w:r>
    </w:p>
    <w:p>
      <w:pPr>
        <w:pStyle w:val="Heading4"/>
        <w:rPr/>
      </w:pPr>
      <w:r>
        <w:rPr/>
        <w:t>2. Arguments justifiant le choix de l’algorithme et sa performance :</w:t>
      </w:r>
    </w:p>
    <w:p>
      <w:pPr>
        <w:pStyle w:val="BodyText"/>
        <w:numPr>
          <w:ilvl w:val="0"/>
          <w:numId w:val="2"/>
        </w:numPr>
        <w:tabs>
          <w:tab w:val="clear" w:pos="720"/>
          <w:tab w:val="left" w:pos="0" w:leader="none"/>
        </w:tabs>
        <w:spacing w:before="0" w:after="0"/>
        <w:ind w:hanging="283" w:left="709"/>
        <w:rPr/>
      </w:pPr>
      <w:r>
        <w:rPr>
          <w:rStyle w:val="Strong"/>
        </w:rPr>
        <w:t>Adaptation minimale mais efficace</w:t>
      </w:r>
      <w:r>
        <w:rPr/>
        <w:t xml:space="preserve"> : Chronos se distingue par une approche minimaliste qui utilise des modèles de langage existants sans modifications majeures de leur architecture, facilitant ainsi leur application directe aux séries temporelles.</w:t>
      </w:r>
    </w:p>
    <w:p>
      <w:pPr>
        <w:pStyle w:val="BodyText"/>
        <w:numPr>
          <w:ilvl w:val="0"/>
          <w:numId w:val="2"/>
        </w:numPr>
        <w:tabs>
          <w:tab w:val="clear" w:pos="720"/>
          <w:tab w:val="left" w:pos="0" w:leader="none"/>
        </w:tabs>
        <w:spacing w:before="0" w:after="0"/>
        <w:ind w:hanging="283" w:left="709"/>
        <w:rPr/>
      </w:pPr>
      <w:r>
        <w:rPr>
          <w:rStyle w:val="Strong"/>
        </w:rPr>
        <w:t>Résultats démontrés sur 42 ensembles de données</w:t>
      </w:r>
      <w:r>
        <w:rPr/>
        <w:t xml:space="preserve"> : Dans des benchmarks exhaustifs, Chronos surpasse significativement les méthodes traditionnelles et certaines approches d'apprentissage profond sur les ensembles de données inclus dans le corpus d'entraînement. Il démontre également des performances comparables, voire supérieures, en apprentissage "zero-shot" sur des ensembles de données non vues auparavant.</w:t>
      </w:r>
    </w:p>
    <w:p>
      <w:pPr>
        <w:pStyle w:val="BodyText"/>
        <w:numPr>
          <w:ilvl w:val="0"/>
          <w:numId w:val="2"/>
        </w:numPr>
        <w:tabs>
          <w:tab w:val="clear" w:pos="720"/>
          <w:tab w:val="left" w:pos="0" w:leader="none"/>
        </w:tabs>
        <w:spacing w:before="0" w:after="0"/>
        <w:ind w:hanging="283" w:left="709"/>
        <w:rPr/>
      </w:pPr>
      <w:r>
        <w:rPr>
          <w:rStyle w:val="Strong"/>
        </w:rPr>
        <w:t>Flexibilité et robustesse</w:t>
      </w:r>
      <w:r>
        <w:rPr/>
        <w:t xml:space="preserve"> : L'utilisation de techniques d'augmentation de données, telles que </w:t>
      </w:r>
      <w:r>
        <w:rPr>
          <w:rStyle w:val="Strong"/>
        </w:rPr>
        <w:t>TSMixup</w:t>
      </w:r>
      <w:r>
        <w:rPr/>
        <w:t xml:space="preserve"> (mélange de séries temporelles réelles) et des séries temporelles synthétiques générées par processus gaussiens, améliore la robustesse et la généralisation du modèle.</w:t>
      </w:r>
    </w:p>
    <w:p>
      <w:pPr>
        <w:pStyle w:val="BodyText"/>
        <w:numPr>
          <w:ilvl w:val="0"/>
          <w:numId w:val="2"/>
        </w:numPr>
        <w:tabs>
          <w:tab w:val="clear" w:pos="720"/>
          <w:tab w:val="left" w:pos="0" w:leader="none"/>
        </w:tabs>
        <w:ind w:hanging="283" w:left="709"/>
        <w:rPr/>
      </w:pPr>
      <w:r>
        <w:rPr>
          <w:rStyle w:val="Strong"/>
        </w:rPr>
        <w:t>Efficacité computationnelle</w:t>
      </w:r>
      <w:r>
        <w:rPr/>
        <w:t xml:space="preserve"> : En comparaison avec d'autres modèles nécessitant des ajustements spécifiques ou des ressources intensives (comme GPT-3), Chronos offre une alternative moins coûteuse avec une taille de modèle modeste.</w:t>
      </w:r>
    </w:p>
    <w:p>
      <w:pPr>
        <w:pStyle w:val="Normal1"/>
        <w:spacing w:lineRule="auto" w:line="276"/>
        <w:rPr>
          <w:rFonts w:ascii="Inter" w:hAnsi="Inter" w:eastAsia="Inter" w:cs="Inter"/>
          <w:i/>
          <w:i/>
          <w:color w:val="B7B7B7"/>
        </w:rPr>
      </w:pPr>
      <w:r>
        <w:rPr>
          <w:rFonts w:eastAsia="Inter" w:cs="Inter" w:ascii="Inter" w:hAnsi="Inter"/>
          <w:i/>
          <w:color w:val="B7B7B7"/>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47385" cy="2390140"/>
                <wp:effectExtent l="0" t="0" r="0" b="0"/>
                <wp:wrapSquare wrapText="largest"/>
                <wp:docPr id="1" name="Cadre1"/>
                <a:graphic xmlns:a="http://schemas.openxmlformats.org/drawingml/2006/main">
                  <a:graphicData uri="http://schemas.microsoft.com/office/word/2010/wordprocessingShape">
                    <wps:wsp>
                      <wps:cNvSpPr txBox="1"/>
                      <wps:spPr>
                        <a:xfrm>
                          <a:off x="0" y="0"/>
                          <a:ext cx="5747385" cy="2390140"/>
                        </a:xfrm>
                        <a:prstGeom prst="rect"/>
                        <a:solidFill>
                          <a:srgbClr val="FFFFFF"/>
                        </a:solidFill>
                      </wps:spPr>
                      <wps:txbx>
                        <w:txbxContent>
                          <w:p>
                            <w:pPr>
                              <w:pStyle w:val="Figure"/>
                              <w:spacing w:before="120" w:after="120"/>
                              <w:jc w:val="center"/>
                              <w:rPr/>
                            </w:pPr>
                            <w:r>
                              <w:rPr/>
                              <w:drawing>
                                <wp:inline distT="0" distB="0" distL="0" distR="0">
                                  <wp:extent cx="5623560" cy="20389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623560" cy="20389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Benchmark 5.5.1 : https://arxiv.org/html/2403.07815v3</w:t>
                            </w:r>
                          </w:p>
                        </w:txbxContent>
                      </wps:txbx>
                      <wps:bodyPr anchor="t" lIns="0" tIns="0" rIns="0" bIns="0">
                        <a:noAutofit/>
                      </wps:bodyPr>
                    </wps:wsp>
                  </a:graphicData>
                </a:graphic>
              </wp:anchor>
            </w:drawing>
          </mc:Choice>
          <mc:Fallback>
            <w:pict>
              <v:rect style="position:absolute;rotation:-0;width:452.55pt;height:188.2pt;mso-wrap-distance-left:0pt;mso-wrap-distance-right:0pt;mso-wrap-distance-top:0pt;mso-wrap-distance-bottom:0pt;margin-top:0pt;mso-position-vertical:top;mso-position-vertical-relative:text;margin-left:-0.6pt;mso-position-horizontal:center;mso-position-horizontal-relative:text">
                <v:textbox inset="0in,0in,0in,0in">
                  <w:txbxContent>
                    <w:p>
                      <w:pPr>
                        <w:pStyle w:val="Figure"/>
                        <w:spacing w:before="120" w:after="120"/>
                        <w:jc w:val="center"/>
                        <w:rPr/>
                      </w:pPr>
                      <w:r>
                        <w:rPr/>
                        <w:drawing>
                          <wp:inline distT="0" distB="0" distL="0" distR="0">
                            <wp:extent cx="5623560" cy="2038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623560" cy="20389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Benchmark 5.5.1 : https://arxiv.org/html/2403.07815v3</w:t>
                      </w:r>
                    </w:p>
                  </w:txbxContent>
                </v:textbox>
                <w10:wrap type="square" side="largest"/>
              </v:rect>
            </w:pict>
          </mc:Fallback>
        </mc:AlternateContent>
      </w:r>
    </w:p>
    <w:p>
      <w:pPr>
        <w:pStyle w:val="Normal1"/>
        <w:spacing w:lineRule="auto" w:line="276"/>
        <w:rPr>
          <w:rFonts w:ascii="Inter" w:hAnsi="Inter" w:eastAsia="Inter" w:cs="Inter"/>
          <w:i/>
          <w:i/>
          <w:color w:val="B7B7B7"/>
        </w:rPr>
      </w:pPr>
      <w:r>
        <w:rPr>
          <w:rFonts w:eastAsia="Inter" w:cs="Inter" w:ascii="Inter" w:hAnsi="Inter"/>
          <w:i/>
          <w:color w:val="B7B7B7"/>
        </w:rPr>
      </w:r>
    </w:p>
    <w:p>
      <w:pPr>
        <w:pStyle w:val="Normal1"/>
        <w:spacing w:lineRule="auto" w:line="276"/>
        <w:rPr>
          <w:rFonts w:ascii="Inter" w:hAnsi="Inter" w:eastAsia="Inter" w:cs="Inter"/>
          <w:i/>
          <w:i/>
          <w:color w:val="B7B7B7"/>
        </w:rPr>
      </w:pPr>
      <w:r>
        <w:rPr>
          <w:rFonts w:eastAsia="Inter" w:cs="Inter" w:ascii="Inter" w:hAnsi="Inter"/>
          <w:i/>
          <w:sz w:val="18"/>
          <w:szCs w:val="18"/>
        </w:rPr>
      </w:r>
    </w:p>
    <w:p>
      <w:pPr>
        <w:pStyle w:val="Heading2"/>
        <w:spacing w:lineRule="auto" w:line="276"/>
        <w:rPr>
          <w:rFonts w:ascii="Inter" w:hAnsi="Inter" w:eastAsia="Inter" w:cs="Inter"/>
          <w:b/>
        </w:rPr>
      </w:pPr>
      <w:bookmarkStart w:id="3" w:name="_2et92p0"/>
      <w:bookmarkEnd w:id="3"/>
      <w:r>
        <w:rPr>
          <w:rFonts w:eastAsia="Inter" w:cs="Inter" w:ascii="Inter" w:hAnsi="Inter"/>
          <w:b/>
        </w:rPr>
        <w:t>Références bibliographiques</w:t>
      </w:r>
      <w:r>
        <w:rPr>
          <w:rFonts w:eastAsia="Inter" w:cs="Inter" w:ascii="Inter" w:hAnsi="Inter"/>
          <w:i/>
          <w:color w:val="B7B7B7"/>
          <w:highlight w:val="white"/>
        </w:rPr>
        <w:t xml:space="preserve"> </w:t>
      </w:r>
    </w:p>
    <w:p>
      <w:pPr>
        <w:pStyle w:val="Normal1"/>
        <w:numPr>
          <w:ilvl w:val="0"/>
          <w:numId w:val="1"/>
        </w:numPr>
        <w:shd w:val="clear" w:fill="FFFFFF"/>
        <w:spacing w:lineRule="auto" w:line="240" w:before="240" w:after="240"/>
        <w:rPr/>
      </w:pPr>
      <w:r>
        <w:rPr/>
        <w:t xml:space="preserve">Chronos paper : </w:t>
      </w:r>
      <w:r>
        <w:rPr>
          <w:rStyle w:val="Hyperlink"/>
        </w:rPr>
        <w:t>https://arxiv.org/abs/2403.07815</w:t>
      </w:r>
    </w:p>
    <w:p>
      <w:pPr>
        <w:pStyle w:val="Normal1"/>
        <w:numPr>
          <w:ilvl w:val="0"/>
          <w:numId w:val="1"/>
        </w:numPr>
        <w:shd w:val="clear" w:fill="FFFFFF"/>
        <w:spacing w:lineRule="auto" w:line="240" w:before="240" w:after="240"/>
        <w:rPr/>
      </w:pPr>
      <w:r>
        <w:rPr/>
        <w:t xml:space="preserve">Comment installer Chronos : </w:t>
      </w:r>
      <w:hyperlink r:id="rId7">
        <w:r>
          <w:rPr>
            <w:rStyle w:val="Hyperlink"/>
          </w:rPr>
          <w:t>lien youtube</w:t>
        </w:r>
      </w:hyperlink>
    </w:p>
    <w:p>
      <w:pPr>
        <w:pStyle w:val="Normal1"/>
        <w:numPr>
          <w:ilvl w:val="0"/>
          <w:numId w:val="1"/>
        </w:numPr>
        <w:shd w:val="clear" w:fill="FFFFFF"/>
        <w:spacing w:lineRule="auto" w:line="240" w:before="240" w:after="240"/>
        <w:rPr/>
      </w:pPr>
      <w:r>
        <w:rPr/>
        <w:t xml:space="preserve">Article de blog : </w:t>
      </w:r>
      <w:hyperlink r:id="rId8">
        <w:r>
          <w:rPr>
            <w:rStyle w:val="Hyperlink"/>
          </w:rPr>
          <w:t>lien</w:t>
        </w:r>
      </w:hyperlink>
    </w:p>
    <w:p>
      <w:pPr>
        <w:pStyle w:val="Normal1"/>
        <w:numPr>
          <w:ilvl w:val="1"/>
          <w:numId w:val="1"/>
        </w:numPr>
        <w:shd w:val="clear" w:fill="FFFFFF"/>
        <w:spacing w:lineRule="auto" w:line="240" w:before="240" w:after="240"/>
        <w:rPr/>
      </w:pPr>
      <w:r>
        <w:rPr/>
        <w:t>Concept fondamentaux des séries temporelles</w:t>
      </w:r>
    </w:p>
    <w:p>
      <w:pPr>
        <w:pStyle w:val="Normal1"/>
        <w:numPr>
          <w:ilvl w:val="1"/>
          <w:numId w:val="1"/>
        </w:numPr>
        <w:shd w:val="clear" w:fill="FFFFFF"/>
        <w:spacing w:lineRule="auto" w:line="240" w:before="240" w:after="240"/>
        <w:rPr/>
      </w:pPr>
      <w:r>
        <w:rPr/>
        <w:t>Présentation de Chronos</w:t>
      </w:r>
    </w:p>
    <w:p>
      <w:pPr>
        <w:pStyle w:val="Normal1"/>
        <w:numPr>
          <w:ilvl w:val="1"/>
          <w:numId w:val="1"/>
        </w:numPr>
        <w:shd w:val="clear" w:fill="FFFFFF"/>
        <w:spacing w:lineRule="auto" w:line="240" w:before="240" w:after="240"/>
        <w:rPr/>
      </w:pPr>
      <w:r>
        <w:rPr/>
        <w:t>Application et cas d’utilisation</w:t>
      </w:r>
    </w:p>
    <w:p>
      <w:pPr>
        <w:pStyle w:val="Normal1"/>
        <w:numPr>
          <w:ilvl w:val="1"/>
          <w:numId w:val="1"/>
        </w:numPr>
        <w:shd w:val="clear" w:fill="FFFFFF"/>
        <w:spacing w:lineRule="auto" w:line="240" w:before="240" w:after="240"/>
        <w:rPr/>
      </w:pPr>
      <w:r>
        <w:rPr/>
        <w:t>Avantages et limites</w:t>
      </w:r>
    </w:p>
    <w:p>
      <w:pPr>
        <w:pStyle w:val="Normal1"/>
        <w:spacing w:lineRule="auto" w:line="240" w:before="380" w:after="300"/>
        <w:ind w:hanging="0" w:left="0" w:right="280"/>
        <w:rPr>
          <w:rFonts w:ascii="Inter" w:hAnsi="Inter" w:eastAsia="Inter" w:cs="Inter"/>
          <w:i/>
          <w:i/>
          <w:color w:val="B7B7B7"/>
          <w:highlight w:val="white"/>
        </w:rPr>
      </w:pPr>
      <w:r>
        <w:rPr>
          <w:rFonts w:eastAsia="Inter" w:cs="Inter" w:ascii="Inter" w:hAnsi="Inter"/>
          <w:i/>
          <w:color w:val="B7B7B7"/>
          <w:highlight w:val="white"/>
        </w:rPr>
      </w:r>
    </w:p>
    <w:p>
      <w:pPr>
        <w:pStyle w:val="Heading2"/>
        <w:spacing w:lineRule="auto" w:line="276"/>
        <w:rPr>
          <w:rFonts w:ascii="Inter" w:hAnsi="Inter" w:eastAsia="Inter" w:cs="Inter"/>
          <w:b/>
        </w:rPr>
      </w:pPr>
      <w:bookmarkStart w:id="4" w:name="_1t3h5sf"/>
      <w:bookmarkEnd w:id="4"/>
      <w:r>
        <w:rPr>
          <w:rFonts w:eastAsia="Inter" w:cs="Inter" w:ascii="Inter" w:hAnsi="Inter"/>
          <w:b/>
        </w:rPr>
        <w:t>Explication de votre démarche de test du nouvel algorithme (votre preuve de concept)</w:t>
      </w:r>
    </w:p>
    <w:p>
      <w:pPr>
        <w:pStyle w:val="Normal1"/>
        <w:numPr>
          <w:ilvl w:val="0"/>
          <w:numId w:val="4"/>
        </w:numPr>
        <w:shd w:val="clear" w:fill="FFFFFF"/>
        <w:spacing w:lineRule="auto" w:line="240" w:before="240" w:after="240"/>
        <w:rPr/>
      </w:pPr>
      <w:r>
        <w:rPr/>
        <w:t xml:space="preserve">Utilisation du </w:t>
      </w:r>
      <w:hyperlink r:id="rId9">
        <w:r>
          <w:rPr>
            <w:rStyle w:val="Hyperlink"/>
          </w:rPr>
          <w:t>kernel </w:t>
        </w:r>
      </w:hyperlink>
      <w:r>
        <w:rPr/>
        <w:t>de Monsieur ASLAN AHMEDOV comme point de départ.</w:t>
      </w:r>
    </w:p>
    <w:p>
      <w:pPr>
        <w:pStyle w:val="Normal1"/>
        <w:numPr>
          <w:ilvl w:val="0"/>
          <w:numId w:val="4"/>
        </w:numPr>
        <w:shd w:val="clear" w:fill="FFFFFF"/>
        <w:spacing w:lineRule="auto" w:line="240" w:before="240" w:after="240"/>
        <w:rPr/>
      </w:pPr>
      <w:r>
        <w:rPr/>
        <w:t>Évaluation d</w:t>
      </w:r>
      <w:r>
        <w:rPr/>
        <w:t xml:space="preserve">u modèle </w:t>
      </w:r>
      <w:r>
        <w:rPr/>
        <w:t>AUTOARIMA (calcul MAPE).</w:t>
      </w:r>
    </w:p>
    <w:p>
      <w:pPr>
        <w:pStyle w:val="Normal1"/>
        <w:numPr>
          <w:ilvl w:val="0"/>
          <w:numId w:val="4"/>
        </w:numPr>
        <w:shd w:val="clear" w:fill="FFFFFF"/>
        <w:spacing w:lineRule="auto" w:line="240" w:before="240" w:after="240"/>
        <w:rPr/>
      </w:pPr>
      <w:r>
        <w:rPr/>
        <w:t>Utilisation de autogluon.</w:t>
      </w:r>
    </w:p>
    <w:p>
      <w:pPr>
        <w:pStyle w:val="Normal1"/>
        <w:numPr>
          <w:ilvl w:val="0"/>
          <w:numId w:val="4"/>
        </w:numPr>
        <w:shd w:val="clear" w:fill="FFFFFF"/>
        <w:spacing w:lineRule="auto" w:line="240" w:before="240" w:after="240"/>
        <w:rPr/>
      </w:pPr>
      <w:r>
        <w:rPr/>
        <w:t>Évaluation d</w:t>
      </w:r>
      <w:r>
        <w:rPr/>
        <w:t>u modèle Amazon Chronos</w:t>
      </w:r>
    </w:p>
    <w:p>
      <w:pPr>
        <w:pStyle w:val="Normal1"/>
        <w:numPr>
          <w:ilvl w:val="0"/>
          <w:numId w:val="4"/>
        </w:numPr>
        <w:shd w:val="clear" w:fill="FFFFFF"/>
        <w:spacing w:lineRule="auto" w:line="240" w:before="240" w:after="240"/>
        <w:rPr/>
      </w:pPr>
      <w:r>
        <w:rPr/>
        <w:t>Optimisation du modèle Amazon Chronos</w:t>
      </w:r>
    </w:p>
    <w:p>
      <w:pPr>
        <w:pStyle w:val="Normal1"/>
        <w:numPr>
          <w:ilvl w:val="0"/>
          <w:numId w:val="4"/>
        </w:numPr>
        <w:shd w:val="clear" w:fill="FFFFFF"/>
        <w:spacing w:lineRule="auto" w:line="240" w:before="240" w:after="240"/>
        <w:rPr/>
      </w:pPr>
      <w:r>
        <w:rPr/>
        <w:t>Interface pour le métier qui sert à évaluer les performances des différents magasins.</w:t>
      </w:r>
    </w:p>
    <w:p>
      <w:pPr>
        <w:pStyle w:val="Normal1"/>
        <w:shd w:val="clear" w:fill="FFFFFF"/>
        <w:spacing w:lineRule="auto" w:line="240" w:before="240" w:after="240"/>
        <w:ind w:hanging="0" w:left="0"/>
        <w:rPr>
          <w:rFonts w:ascii="Inter" w:hAnsi="Inter" w:eastAsia="Inter" w:cs="Inter"/>
          <w:i/>
          <w:i/>
          <w:color w:val="B7B7B7"/>
          <w:highlight w:val="white"/>
        </w:rPr>
      </w:pPr>
      <w:r>
        <w:rPr>
          <w:rFonts w:eastAsia="Inter" w:cs="Inter" w:ascii="Inter" w:hAnsi="Inter"/>
          <w:i/>
          <w:color w:val="B7B7B7"/>
          <w:highlight w:val="white"/>
        </w:rPr>
      </w:r>
    </w:p>
    <w:sectPr>
      <w:headerReference w:type="even" r:id="rId10"/>
      <w:headerReference w:type="default" r:id="rId11"/>
      <w:headerReference w:type="first" r:id="rId1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ter">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5731510" cy="113030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5731510" cy="11303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FollowedHyperlink">
    <w:name w:val="FollowedHyperlink"/>
    <w:rPr>
      <w:color w:val="800000"/>
      <w:u w:val="single"/>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Figure">
    <w:name w:val="Figure"/>
    <w:basedOn w:val="Caption"/>
    <w:qFormat/>
    <w:pPr/>
    <w:rPr/>
  </w:style>
  <w:style w:type="numbering" w:styleId="Numrotation123">
    <w:name w:val="Numérotation 123"/>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iamprateek/wallmart-sales-forecast-datasets" TargetMode="External"/><Relationship Id="rId3" Type="http://schemas.openxmlformats.org/officeDocument/2006/relationships/hyperlink" Target="https://www.kaggle.com/code/aslanahmedov/walmart-sales-forecasting"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hyperlink" Target="https://www.youtube.com/watch?v=WxazoCVkBhg" TargetMode="External"/><Relationship Id="rId8" Type="http://schemas.openxmlformats.org/officeDocument/2006/relationships/hyperlink" Target="https://arize.com/blog/demystifying-chronos-learning-the-language-of-time-series/" TargetMode="External"/><Relationship Id="rId9" Type="http://schemas.openxmlformats.org/officeDocument/2006/relationships/hyperlink" Target="https://www.kaggle.com/code/aslanahmedov/walmart-sales-forecast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798</TotalTime>
  <Application>LibreOffice/24.2.1.2$Linux_X86_64 LibreOffice_project/420$Build-2</Application>
  <AppVersion>15.0000</AppVersion>
  <Pages>3</Pages>
  <Words>518</Words>
  <Characters>3206</Characters>
  <CharactersWithSpaces>3668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2025-01-27T15:35:56Z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