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color w:val="212529"/>
        </w:rPr>
      </w:pPr>
      <w:r w:rsidDel="00000000" w:rsidR="00000000" w:rsidRPr="00000000">
        <w:rPr>
          <w:color w:val="212529"/>
          <w:rtl w:val="0"/>
        </w:rPr>
        <w:t xml:space="preserve">1.Introduction</w:t>
      </w:r>
    </w:p>
    <w:p w:rsidR="00000000" w:rsidDel="00000000" w:rsidP="00000000" w:rsidRDefault="00000000" w:rsidRPr="00000000" w14:paraId="00000002">
      <w:pPr>
        <w:shd w:fill="ffffff" w:val="clear"/>
        <w:spacing w:after="240" w:lineRule="auto"/>
        <w:rPr>
          <w:color w:val="212529"/>
        </w:rPr>
      </w:pPr>
      <w:r w:rsidDel="00000000" w:rsidR="00000000" w:rsidRPr="00000000">
        <w:rPr>
          <w:color w:val="212529"/>
          <w:rtl w:val="0"/>
        </w:rPr>
        <w:t xml:space="preserve">The steps in effective fisheries management generally include planning and conducting field studies, carrying out analyses, and presenting results in reports and presentations. A strong statistical foundation is essential for accomplishing these tasks. Otherwise, management ends up being a trial-and-error process that is inefficient and often ineffective. The purpose of this book is to provide an introduction to these quantitative methods, using a Bayesian statistical paradigm.</w:t>
      </w:r>
    </w:p>
    <w:p w:rsidR="00000000" w:rsidDel="00000000" w:rsidP="00000000" w:rsidRDefault="00000000" w:rsidRPr="00000000" w14:paraId="00000003">
      <w:pPr>
        <w:shd w:fill="ffffff" w:val="clear"/>
        <w:spacing w:after="240" w:lineRule="auto"/>
        <w:rPr>
          <w:color w:val="212529"/>
        </w:rPr>
      </w:pPr>
      <w:r w:rsidDel="00000000" w:rsidR="00000000" w:rsidRPr="00000000">
        <w:rPr>
          <w:color w:val="212529"/>
          <w:rtl w:val="0"/>
        </w:rPr>
        <w:t xml:space="preserve">2.A Brief Introduction to R and RStudio</w:t>
      </w:r>
    </w:p>
    <w:p w:rsidR="00000000" w:rsidDel="00000000" w:rsidP="00000000" w:rsidRDefault="00000000" w:rsidRPr="00000000" w14:paraId="00000004">
      <w:pPr>
        <w:shd w:fill="ffffff" w:val="clear"/>
        <w:spacing w:after="240" w:lineRule="auto"/>
        <w:rPr>
          <w:color w:val="212529"/>
        </w:rPr>
      </w:pPr>
      <w:r w:rsidDel="00000000" w:rsidR="00000000" w:rsidRPr="00000000">
        <w:rPr>
          <w:color w:val="212529"/>
          <w:rtl w:val="0"/>
        </w:rPr>
        <w:t xml:space="preserve">This chapter introduces R, a free software environment for data manipulation, statistical analyses, and graphics. RStudio is introduced as a software interface for working in R. The chapter illustrates a few basic R commands and some general methods for getting help and learning more about R.  R code is primarily introduced through a graduated series of examples in the remaining chapters.</w:t>
      </w:r>
    </w:p>
    <w:p w:rsidR="00000000" w:rsidDel="00000000" w:rsidP="00000000" w:rsidRDefault="00000000" w:rsidRPr="00000000" w14:paraId="00000005">
      <w:pPr>
        <w:shd w:fill="ffffff" w:val="clear"/>
        <w:spacing w:after="240" w:lineRule="auto"/>
        <w:rPr>
          <w:color w:val="212529"/>
        </w:rPr>
      </w:pPr>
      <w:r w:rsidDel="00000000" w:rsidR="00000000" w:rsidRPr="00000000">
        <w:rPr>
          <w:color w:val="212529"/>
          <w:rtl w:val="0"/>
        </w:rPr>
        <w:t xml:space="preserve">3.Probability Distributions</w:t>
      </w:r>
    </w:p>
    <w:p w:rsidR="00000000" w:rsidDel="00000000" w:rsidP="00000000" w:rsidRDefault="00000000" w:rsidRPr="00000000" w14:paraId="00000006">
      <w:pPr>
        <w:shd w:fill="ffffff" w:val="clear"/>
        <w:spacing w:after="240" w:lineRule="auto"/>
        <w:rPr>
          <w:color w:val="212529"/>
        </w:rPr>
      </w:pPr>
      <w:r w:rsidDel="00000000" w:rsidR="00000000" w:rsidRPr="00000000">
        <w:rPr>
          <w:color w:val="212529"/>
          <w:rtl w:val="0"/>
        </w:rPr>
        <w:t xml:space="preserve">When a biologist conducts a field study, the usual purpose is to collect data that will be useful for management. Examples of data that could be collected include (i) whether a fish with a radio transmitter was detected, (ii) how many tags were reported by anglers over a fishing season, (iii) how many fish of each age were observed in a sample, or (iv) the number of fish caught in a single tow of a net. Each of these examples arises from a different statistical distribution. The distribution affects the properties of the data and how those data might be analyzed. This chapter shows how simulation is helpful for exploring the characteristics of ecologically important distributions.</w:t>
      </w:r>
    </w:p>
    <w:p w:rsidR="00000000" w:rsidDel="00000000" w:rsidP="00000000" w:rsidRDefault="00000000" w:rsidRPr="00000000" w14:paraId="00000007">
      <w:pPr>
        <w:shd w:fill="ffffff" w:val="clear"/>
        <w:spacing w:after="240" w:lineRule="auto"/>
        <w:rPr>
          <w:color w:val="212529"/>
        </w:rPr>
      </w:pPr>
      <w:r w:rsidDel="00000000" w:rsidR="00000000" w:rsidRPr="00000000">
        <w:rPr>
          <w:color w:val="212529"/>
          <w:rtl w:val="0"/>
        </w:rPr>
        <w:t xml:space="preserve">4.Model Fitting</w:t>
      </w:r>
    </w:p>
    <w:p w:rsidR="00000000" w:rsidDel="00000000" w:rsidP="00000000" w:rsidRDefault="00000000" w:rsidRPr="00000000" w14:paraId="00000008">
      <w:pPr>
        <w:shd w:fill="ffffff" w:val="clear"/>
        <w:spacing w:after="240" w:lineRule="auto"/>
        <w:rPr>
          <w:color w:val="212529"/>
        </w:rPr>
      </w:pPr>
      <w:r w:rsidDel="00000000" w:rsidR="00000000" w:rsidRPr="00000000">
        <w:rPr>
          <w:color w:val="212529"/>
          <w:rtl w:val="0"/>
        </w:rPr>
        <w:t xml:space="preserve">A model in a fisheries context typically means one or more equations that describe a biological process of interest. There are several good reasons for developing a model. A model that simulates a field study can be used for planning purposes, before field work is conducted. It can also be used to test an analytical approach. For example, we could generate simulated data and see whether our analysis agrees with the known true value(s). The other main use of a model is to analyze data from field work. This chapter shows the steps in fitting a model within a Bayesian statistical framework, using R packages for JAGS. Topics include code debugging, judging convergence, model checking and model selection.</w:t>
      </w:r>
    </w:p>
    <w:p w:rsidR="00000000" w:rsidDel="00000000" w:rsidP="00000000" w:rsidRDefault="00000000" w:rsidRPr="00000000" w14:paraId="00000009">
      <w:pPr>
        <w:shd w:fill="ffffff" w:val="clear"/>
        <w:spacing w:after="240" w:lineRule="auto"/>
        <w:rPr>
          <w:color w:val="212529"/>
        </w:rPr>
      </w:pPr>
      <w:r w:rsidDel="00000000" w:rsidR="00000000" w:rsidRPr="00000000">
        <w:rPr>
          <w:color w:val="212529"/>
          <w:rtl w:val="0"/>
        </w:rPr>
        <w:t xml:space="preserve">5.Abundance</w:t>
      </w:r>
    </w:p>
    <w:p w:rsidR="00000000" w:rsidDel="00000000" w:rsidP="00000000" w:rsidRDefault="00000000" w:rsidRPr="00000000" w14:paraId="0000000A">
      <w:pPr>
        <w:shd w:fill="ffffff" w:val="clear"/>
        <w:spacing w:after="240" w:lineRule="auto"/>
        <w:rPr>
          <w:color w:val="212529"/>
        </w:rPr>
      </w:pPr>
      <w:r w:rsidDel="00000000" w:rsidR="00000000" w:rsidRPr="00000000">
        <w:rPr>
          <w:color w:val="212529"/>
          <w:rtl w:val="0"/>
        </w:rPr>
        <w:t xml:space="preserve">Information about abundance can be invaluable for making policy decisions. For fish populations that support commercial or recreational fishing, that information could determine the appropriate level of harvest. For rare or declining populations, the information might be used to develop a restoration plan. It is rarely possible to conduct a census (counting every individual in a target population), so models are used to account for incomplete sampling. This chapter presents three simple field approaches for estimating population size. These methods can be used in freshwater or marine systems, but they do require that the study area be closed (no migration in or out, no recruitment (additions through reproduction), and no mortality for the duration of the study). Later chapters consider open models that jointly estimate population abundance and mortality over longer time frames.</w:t>
      </w:r>
    </w:p>
    <w:p w:rsidR="00000000" w:rsidDel="00000000" w:rsidP="00000000" w:rsidRDefault="00000000" w:rsidRPr="00000000" w14:paraId="0000000B">
      <w:pPr>
        <w:shd w:fill="ffffff" w:val="clear"/>
        <w:spacing w:after="240" w:lineRule="auto"/>
        <w:rPr>
          <w:color w:val="212529"/>
        </w:rPr>
      </w:pPr>
      <w:r w:rsidDel="00000000" w:rsidR="00000000" w:rsidRPr="00000000">
        <w:rPr>
          <w:color w:val="212529"/>
          <w:rtl w:val="0"/>
        </w:rPr>
        <w:t xml:space="preserve">6.Survival</w:t>
      </w:r>
    </w:p>
    <w:p w:rsidR="00000000" w:rsidDel="00000000" w:rsidP="00000000" w:rsidRDefault="00000000" w:rsidRPr="00000000" w14:paraId="0000000C">
      <w:pPr>
        <w:shd w:fill="ffffff" w:val="clear"/>
        <w:spacing w:after="240" w:lineRule="auto"/>
        <w:rPr>
          <w:color w:val="212529"/>
        </w:rPr>
      </w:pPr>
      <w:r w:rsidDel="00000000" w:rsidR="00000000" w:rsidRPr="00000000">
        <w:rPr>
          <w:color w:val="212529"/>
          <w:rtl w:val="0"/>
        </w:rPr>
        <w:t xml:space="preserve">Information about survival rate is valuable for managing exploited stocks or working to rebuild rare or declining populations. Survival is affected by two broad categories of threats: fishing and natural mortality. Fishing obviously refers to harvest, from commercial or recreational sectors, but it could include mortality associated with fish that are caught and released. Natural mortality is a generic term for mortality sources other than fishing, especially predation but also starvation, disease and senescence. Following this chapter on estimation of overall survival is a chapter with more advanced methods for partitioning total mortality (1-survival) into fishing and natural component rates.</w:t>
      </w:r>
    </w:p>
    <w:p w:rsidR="00000000" w:rsidDel="00000000" w:rsidP="00000000" w:rsidRDefault="00000000" w:rsidRPr="00000000" w14:paraId="0000000D">
      <w:pPr>
        <w:shd w:fill="ffffff" w:val="clear"/>
        <w:spacing w:after="240" w:lineRule="auto"/>
        <w:rPr>
          <w:color w:val="212529"/>
        </w:rPr>
      </w:pPr>
      <w:r w:rsidDel="00000000" w:rsidR="00000000" w:rsidRPr="00000000">
        <w:rPr>
          <w:color w:val="212529"/>
          <w:rtl w:val="0"/>
        </w:rPr>
        <w:t xml:space="preserve">7.Mortality Components</w:t>
      </w:r>
    </w:p>
    <w:p w:rsidR="00000000" w:rsidDel="00000000" w:rsidP="00000000" w:rsidRDefault="00000000" w:rsidRPr="00000000" w14:paraId="0000000E">
      <w:pPr>
        <w:shd w:fill="ffffff" w:val="clear"/>
        <w:spacing w:after="240" w:lineRule="auto"/>
        <w:rPr>
          <w:color w:val="212529"/>
        </w:rPr>
      </w:pPr>
      <w:r w:rsidDel="00000000" w:rsidR="00000000" w:rsidRPr="00000000">
        <w:rPr>
          <w:color w:val="212529"/>
          <w:rtl w:val="0"/>
        </w:rPr>
        <w:t xml:space="preserve">Reliable estimates of the overall survival rate are essential in understanding fish population dynamics, but for exploited species, there is generally interest in partitioning mortality into its component rates. Knowing the relative importance of fishing versus natural mortality clarifies the extent to which fishery managers can use regulations to affect population change. This chapter describes tagging and telemetry methods for examining the impact of fishing and for estimating fishing and natural mortality rates.</w:t>
      </w:r>
    </w:p>
    <w:p w:rsidR="00000000" w:rsidDel="00000000" w:rsidP="00000000" w:rsidRDefault="00000000" w:rsidRPr="00000000" w14:paraId="0000000F">
      <w:pPr>
        <w:shd w:fill="ffffff" w:val="clear"/>
        <w:spacing w:after="240" w:lineRule="auto"/>
        <w:rPr>
          <w:color w:val="212529"/>
        </w:rPr>
      </w:pPr>
      <w:r w:rsidDel="00000000" w:rsidR="00000000" w:rsidRPr="00000000">
        <w:rPr>
          <w:color w:val="212529"/>
          <w:rtl w:val="0"/>
        </w:rPr>
        <w:t xml:space="preserve">8.Growth</w:t>
      </w:r>
    </w:p>
    <w:p w:rsidR="00000000" w:rsidDel="00000000" w:rsidP="00000000" w:rsidRDefault="00000000" w:rsidRPr="00000000" w14:paraId="00000010">
      <w:pPr>
        <w:shd w:fill="ffffff" w:val="clear"/>
        <w:spacing w:after="240" w:lineRule="auto"/>
        <w:rPr>
          <w:color w:val="212529"/>
        </w:rPr>
      </w:pPr>
      <w:r w:rsidDel="00000000" w:rsidR="00000000" w:rsidRPr="00000000">
        <w:rPr>
          <w:color w:val="212529"/>
          <w:rtl w:val="0"/>
        </w:rPr>
        <w:t xml:space="preserve">Growth is a basic aspect of a fish’s life history, but it is also an important process to consider in managing fish populations. The information can be used to develop a harvest strategy that finds a balance between the growth rate (increasing the size of individuals in a cohort) and the loss rate due to natural mortality (reducing the number of individuals in a cohort). There are typically two aspects to growth modeling: age versus length and length versus weight. With those two equations, it is possible to predict the length or weight at any age, and to examine harvest strategies using size-based regulations. The chapter includes fitting of von Bertalanffy growth curves using age:length (as might be obtained using hard parts such as otoliths) and tagging data.</w:t>
      </w:r>
    </w:p>
    <w:p w:rsidR="00000000" w:rsidDel="00000000" w:rsidP="00000000" w:rsidRDefault="00000000" w:rsidRPr="00000000" w14:paraId="00000011">
      <w:pPr>
        <w:shd w:fill="ffffff" w:val="clear"/>
        <w:spacing w:after="240" w:lineRule="auto"/>
        <w:rPr>
          <w:color w:val="212529"/>
        </w:rPr>
      </w:pPr>
      <w:r w:rsidDel="00000000" w:rsidR="00000000" w:rsidRPr="00000000">
        <w:rPr>
          <w:color w:val="212529"/>
          <w:rtl w:val="0"/>
        </w:rPr>
        <w:t xml:space="preserve">9.Recruitment</w:t>
      </w:r>
    </w:p>
    <w:p w:rsidR="00000000" w:rsidDel="00000000" w:rsidP="00000000" w:rsidRDefault="00000000" w:rsidRPr="00000000" w14:paraId="00000012">
      <w:pPr>
        <w:shd w:fill="ffffff" w:val="clear"/>
        <w:spacing w:after="240" w:lineRule="auto"/>
        <w:rPr>
          <w:color w:val="212529"/>
        </w:rPr>
      </w:pPr>
      <w:r w:rsidDel="00000000" w:rsidR="00000000" w:rsidRPr="00000000">
        <w:rPr>
          <w:color w:val="212529"/>
          <w:rtl w:val="0"/>
        </w:rPr>
        <w:t xml:space="preserve">Recruitment is a fundamental process regulating fish populations. It is defined here as the annual process of young fish entering the part of the population that is vulnerable to fishing (i.e., the fishable stock). Typical factors affecting recruitment include environmental conditions, prey availability, and predation. It may seem obvious to assume that spawning stock size affects recruitment, but it is not always easy to detect such a relationship. This chapter shows the process of fitting a stock-recruitment model and how the ability to detect a stock-recruitment relationship is affected by factors such as contrast in spawning stock size, variabiility in recruitment, length of time series, and survey precision.</w:t>
      </w:r>
    </w:p>
    <w:p w:rsidR="00000000" w:rsidDel="00000000" w:rsidP="00000000" w:rsidRDefault="00000000" w:rsidRPr="00000000" w14:paraId="00000013">
      <w:pPr>
        <w:shd w:fill="ffffff" w:val="clear"/>
        <w:spacing w:after="240" w:lineRule="auto"/>
        <w:rPr>
          <w:color w:val="212529"/>
        </w:rPr>
      </w:pPr>
      <w:r w:rsidDel="00000000" w:rsidR="00000000" w:rsidRPr="00000000">
        <w:rPr>
          <w:color w:val="212529"/>
          <w:rtl w:val="0"/>
        </w:rPr>
        <w:t xml:space="preserve">10.Integrated Population Models</w:t>
      </w:r>
    </w:p>
    <w:p w:rsidR="00000000" w:rsidDel="00000000" w:rsidP="00000000" w:rsidRDefault="00000000" w:rsidRPr="00000000" w14:paraId="00000014">
      <w:pPr>
        <w:shd w:fill="ffffff" w:val="clear"/>
        <w:spacing w:after="240" w:lineRule="auto"/>
        <w:rPr>
          <w:color w:val="212529"/>
        </w:rPr>
      </w:pPr>
      <w:r w:rsidDel="00000000" w:rsidR="00000000" w:rsidRPr="00000000">
        <w:rPr>
          <w:color w:val="212529"/>
          <w:rtl w:val="0"/>
        </w:rPr>
        <w:t xml:space="preserve">Previous chapters have addressed population rates one at a time (e.g., estimating abundance or survival). An improved approach would be to design a complementary set of field studies that provides a complete picture of population dynamics. The chapter begins with a two-age model (ages 1 and 2+) using capture-recapture and telemetry data, followed by a full age-structured model as typically used in fish stock assessment.</w:t>
      </w:r>
    </w:p>
    <w:p w:rsidR="00000000" w:rsidDel="00000000" w:rsidP="00000000" w:rsidRDefault="00000000" w:rsidRPr="00000000" w14:paraId="00000015">
      <w:pPr>
        <w:shd w:fill="ffffff" w:val="clear"/>
        <w:spacing w:after="240" w:lineRule="auto"/>
        <w:rPr>
          <w:color w:val="212529"/>
        </w:rPr>
      </w:pPr>
      <w:r w:rsidDel="00000000" w:rsidR="00000000" w:rsidRPr="00000000">
        <w:rPr>
          <w:color w:val="212529"/>
          <w:rtl w:val="0"/>
        </w:rPr>
        <w:t xml:space="preserve">11.Final Thoughts</w:t>
      </w:r>
    </w:p>
    <w:p w:rsidR="00000000" w:rsidDel="00000000" w:rsidP="00000000" w:rsidRDefault="00000000" w:rsidRPr="00000000" w14:paraId="00000016">
      <w:pPr>
        <w:rPr/>
      </w:pPr>
      <w:r w:rsidDel="00000000" w:rsidR="00000000" w:rsidRPr="00000000">
        <w:rPr>
          <w:rtl w:val="0"/>
        </w:rPr>
        <w:t xml:space="preserve">A core theme of this book is the importance of simulation in planning and conducting field research. Simulation and analysis runs under different settings can show design parameters (e.g., number of fish tagged) that would produce useful results, at least for the simulated (ideal) case. Another theme has been the value of JAGS Bayesian software for constructing and fitting fisheries models. This software is a valuable teaching tool, helping to visualize the models and how parameter estimates are obtained. From a research perspective, JAGS code can be tailored to the specific characteristics of a field study. Examples in this book hopefully have illustrated how auxiliary studies can be folded into a Bayesian analysis to improve parameter estimates. A third theme is the importance of learning by doing. Ideally, this includes not only writing code for simulation and analysis, but also carrying out the field work that builds experience and ecological intuition. Within the scope of this book, learning by doing means running and modifying code in order to understand fully how each analysis works.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