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2"/>
      </w:pPr>
      <w:r>
        <w:t xml:space="preserve">With logo</w:t>
      </w:r>
    </w:p>
    <w:p>
      <w:r>
        <w:t xml:space="preserve">Logo: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— inline image rendered via docx ImageRun.</w:t>
      </w:r>
    </w:p>
    <w:p>
      <w:r>
        <w:t xml:space="preserve">This fixture exercises an inline drawing relationship and a media part.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7af7beffa5cca2fee08379789a1d11eafbd999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officeAI</dc:creator>
  <cp:lastModifiedBy>Un-named</cp:lastModifiedBy>
  <cp:revision>1</cp:revision>
  <dcterms:created xsi:type="dcterms:W3CDTF">2026-04-17T19:43:50.709Z</dcterms:created>
  <dcterms:modified xsi:type="dcterms:W3CDTF">2026-04-17T19:43:50.709Z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