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7768" w:rsidRDefault="00000000">
      <w:pPr>
        <w:pStyle w:val="berschrift1"/>
      </w:pPr>
      <w:proofErr w:type="gramStart"/>
      <w:r>
        <w:rPr>
          <w:sz w:val="32"/>
          <w:szCs w:val="32"/>
        </w:rPr>
        <w:t>4.3  Forschungsdesign</w:t>
      </w:r>
      <w:proofErr w:type="gramEnd"/>
      <w:r>
        <w:rPr>
          <w:sz w:val="32"/>
          <w:szCs w:val="32"/>
        </w:rPr>
        <w:t xml:space="preserve"> nach </w:t>
      </w:r>
      <w:r w:rsidR="00B019FD">
        <w:rPr>
          <w:sz w:val="32"/>
          <w:szCs w:val="32"/>
        </w:rPr>
        <w:t>e</w:t>
      </w:r>
      <w:r>
        <w:rPr>
          <w:sz w:val="32"/>
          <w:szCs w:val="32"/>
        </w:rPr>
        <w:t xml:space="preserve"> Design Science Research (</w:t>
      </w:r>
      <w:proofErr w:type="spellStart"/>
      <w:r>
        <w:rPr>
          <w:sz w:val="32"/>
          <w:szCs w:val="32"/>
        </w:rPr>
        <w:t>eDSR</w:t>
      </w:r>
      <w:proofErr w:type="spellEnd"/>
      <w:r>
        <w:rPr>
          <w:sz w:val="32"/>
          <w:szCs w:val="32"/>
        </w:rPr>
        <w:t>)</w:t>
      </w:r>
    </w:p>
    <w:p w:rsidR="00D27768" w:rsidRDefault="00000000">
      <w:pPr>
        <w:spacing w:before="120" w:after="120" w:line="360" w:lineRule="auto"/>
        <w:jc w:val="both"/>
      </w:pPr>
      <w:r>
        <w:t xml:space="preserve">Diese Arbeit folgt dem </w:t>
      </w:r>
      <w:r w:rsidR="00B019FD">
        <w:rPr>
          <w:b/>
          <w:bCs/>
        </w:rPr>
        <w:t>e</w:t>
      </w:r>
      <w:r>
        <w:rPr>
          <w:b/>
          <w:bCs/>
        </w:rPr>
        <w:t xml:space="preserve"> Design Science Research Framework (</w:t>
      </w:r>
      <w:proofErr w:type="spellStart"/>
      <w:r>
        <w:rPr>
          <w:b/>
          <w:bCs/>
        </w:rPr>
        <w:t>eDSR</w:t>
      </w:r>
      <w:proofErr w:type="spellEnd"/>
      <w:r>
        <w:rPr>
          <w:b/>
          <w:bCs/>
        </w:rPr>
        <w:t>)</w:t>
      </w:r>
      <w:r>
        <w:t xml:space="preserve"> nach </w:t>
      </w:r>
      <w:proofErr w:type="spellStart"/>
      <w:r>
        <w:t>Tuunanen</w:t>
      </w:r>
      <w:proofErr w:type="spellEnd"/>
      <w:r>
        <w:t xml:space="preserve"> et al. (2024), das klassische DSR-Zyklen in fünf hierarchische </w:t>
      </w:r>
      <w:r>
        <w:rPr>
          <w:b/>
          <w:bCs/>
        </w:rPr>
        <w:t>Echelons</w:t>
      </w:r>
      <w:r>
        <w:t xml:space="preserve"> überführt. Jede Echelon-Ebene beschreibt einen eigenständigen Erkenntnisschritt – von der Problemanalyse über die Zieldefinition und den Entwurf bis hin zur Demonstration und formalen Evaluation. </w:t>
      </w:r>
      <w:proofErr w:type="spellStart"/>
      <w:r>
        <w:t>eDSR</w:t>
      </w:r>
      <w:proofErr w:type="spellEnd"/>
      <w:r>
        <w:t xml:space="preserve"> eignet sich besonders für gestaltungsorientierte IS-Forschung, bei der sowohl das Artefakt selbst als auch die daraus ableitbaren, generalisierbaren Designprinzipien wissenschaftliche Beiträge darstellen.</w:t>
      </w:r>
    </w:p>
    <w:p w:rsidR="00D27768" w:rsidRDefault="00000000">
      <w:pPr>
        <w:spacing w:before="120" w:after="120" w:line="360" w:lineRule="auto"/>
        <w:jc w:val="both"/>
      </w:pPr>
      <w:r>
        <w:t xml:space="preserve">Im vorliegenden Kontext wird </w:t>
      </w:r>
      <w:proofErr w:type="spellStart"/>
      <w:r>
        <w:t>eDSR</w:t>
      </w:r>
      <w:proofErr w:type="spellEnd"/>
      <w:r>
        <w:t xml:space="preserve"> auf die Gestaltung von KI-Benutzeroberflächen im Enterprise SaaS Sales angewendet. Die zentrale Herausforderung – die </w:t>
      </w:r>
      <w:r>
        <w:rPr>
          <w:b/>
          <w:bCs/>
        </w:rPr>
        <w:t>Verifikationsasymmetrie</w:t>
      </w:r>
      <w:r>
        <w:t xml:space="preserve"> zwischen dem Aufwand der KI-generierten Inhalte und dem Aufwand der menschlichen Überprüfung – bildet den Ausgangspunkt aller fünf Echelons. Das folgende Kapitel dokumentiert den Forschungsprozess entlang dieser Struktur.</w:t>
      </w:r>
    </w:p>
    <w:p w:rsidR="00D27768" w:rsidRDefault="00D27768"/>
    <w:p w:rsidR="00D27768" w:rsidRDefault="00000000">
      <w:pPr>
        <w:pStyle w:val="berschrift2"/>
      </w:pPr>
      <w:proofErr w:type="gramStart"/>
      <w:r>
        <w:rPr>
          <w:sz w:val="28"/>
          <w:szCs w:val="28"/>
        </w:rPr>
        <w:t>4.3.1  Echelon</w:t>
      </w:r>
      <w:proofErr w:type="gramEnd"/>
      <w:r>
        <w:rPr>
          <w:sz w:val="28"/>
          <w:szCs w:val="28"/>
        </w:rPr>
        <w:t xml:space="preserve"> 1 – Problemanalyse</w:t>
      </w:r>
    </w:p>
    <w:p w:rsidR="00D27768" w:rsidRDefault="00000000">
      <w:pPr>
        <w:spacing w:before="120" w:after="120" w:line="360" w:lineRule="auto"/>
        <w:jc w:val="both"/>
      </w:pPr>
      <w:r>
        <w:t>Der erste Echelon dient der systematischen Erfassung und Beschreibung des Problemraums. Im Zentrum steht die Frage, welche wiederkehrenden Herausforderungen Sales-Teams in Enterprise-SaaS-Umgebungen erleben, wenn sie KI-generierte Inhalte im Vertriebsprozess einsetzen oder bewerten müssen.</w:t>
      </w:r>
    </w:p>
    <w:p w:rsidR="00D27768" w:rsidRDefault="00000000">
      <w:pPr>
        <w:spacing w:before="120" w:after="120" w:line="360" w:lineRule="auto"/>
        <w:jc w:val="both"/>
      </w:pPr>
      <w:r>
        <w:t xml:space="preserve">Zur Erfassung des Problemraums wurden qualitative Leitfadeninterviews mit </w:t>
      </w:r>
      <w:r>
        <w:rPr>
          <w:b/>
          <w:bCs/>
        </w:rPr>
        <w:t>acht Vertriebs- und Produktverantwortlichen</w:t>
      </w:r>
      <w:r>
        <w:t xml:space="preserve"> aus dem Enterprise-SaaS-Umfeld geführt. Die Teilnehmer stammten aus Unternehmen mit 100–5.000 Mitarbeitenden und verfügten über direkte Erfahrung mit KI-gestützten Sales-Tools (u. a. Outreach.io, Gong, Salesforce Einstein). Die Interviews dauerten zwischen 40 und 65 Minuten und wurden vollständig transkribiert und thematisch kodiert.</w:t>
      </w:r>
    </w:p>
    <w:p w:rsidR="00D27768" w:rsidRDefault="00000000">
      <w:pPr>
        <w:spacing w:before="120" w:after="120" w:line="360" w:lineRule="auto"/>
        <w:jc w:val="both"/>
      </w:pPr>
      <w:r>
        <w:t xml:space="preserve">Die Auswertung identifizierte eine strukturelle Spannung, die in dieser Arbeit als </w:t>
      </w:r>
      <w:r>
        <w:rPr>
          <w:b/>
          <w:bCs/>
        </w:rPr>
        <w:t>Verifikationsasymmetrie</w:t>
      </w:r>
      <w:r>
        <w:t xml:space="preserve"> bezeichnet wird: Die Leichtigkeit, mit der </w:t>
      </w:r>
      <w:proofErr w:type="gramStart"/>
      <w:r>
        <w:t>KI Inhalte</w:t>
      </w:r>
      <w:proofErr w:type="gramEnd"/>
      <w:r>
        <w:t xml:space="preserve"> – Texte, Bewertungen, Prognosen – generiert, steht in keinem Verhältnis zum kognitiven Aufwand, den die Überprüfung dieser Inhalte durch Menschen erfordert. Diese Asymmetrie tritt in vier empirisch unterscheidbaren Mustern auf:</w:t>
      </w:r>
    </w:p>
    <w:p w:rsidR="00D27768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b/>
          <w:bCs/>
        </w:rPr>
        <w:lastRenderedPageBreak/>
        <w:t xml:space="preserve">Einfache Generierung, einfache Verifikation: </w:t>
      </w:r>
      <w:r>
        <w:t>Routineaufgaben wie automatisierte Aktivitätserinnerungen oder Status-Updates. KI liefert korrekte Ergebnisse mit hoher Verlässlichkeit; menschliche Prüfung ist trivial.</w:t>
      </w:r>
    </w:p>
    <w:p w:rsidR="00D27768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Schwierige Generierung, einfache Verifikation: </w:t>
      </w:r>
      <w:r>
        <w:t xml:space="preserve">Komplexe, kontextreiche Inhalte wie personalisierte Outreach-Texte oder Angebotsvorlagen. KI-Erstellung ist aufwendig; der Mensch kann das Ergebnis jedoch schnell auf Plausibilität prüfen – der sog. </w:t>
      </w:r>
      <w:r>
        <w:rPr>
          <w:b/>
          <w:bCs/>
        </w:rPr>
        <w:t>Sweet Spot</w:t>
      </w:r>
      <w:r>
        <w:t xml:space="preserve"> der KI-Nutzung.</w:t>
      </w:r>
    </w:p>
    <w:p w:rsidR="00D27768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Einfache Generierung, schwierige Verifikation: </w:t>
      </w:r>
      <w:r>
        <w:t>Inhalte wie Security-</w:t>
      </w:r>
      <w:proofErr w:type="spellStart"/>
      <w:r>
        <w:t>Questionnaires</w:t>
      </w:r>
      <w:proofErr w:type="spellEnd"/>
      <w:r>
        <w:t xml:space="preserve"> oder Compliance-Checklisten, die KI zwar vollständig ausfüllt, bei denen die Prüfung jedoch tiefes Domänenwissen und Recherche erfordert.</w:t>
      </w:r>
    </w:p>
    <w:p w:rsidR="00D27768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Schwierige Generierung, schwierige Verifikation: </w:t>
      </w:r>
      <w:r>
        <w:t>Hochkomplexe Analyseleistungen (z. B. Risikobewertungen), bei denen weder Generierung noch Verifikation trivial ist – und bei denen falsche KI-Ausgaben zu gravierenden Fehlentscheidungen führen können.</w:t>
      </w:r>
    </w:p>
    <w:p w:rsidR="00D27768" w:rsidRDefault="00D277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277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8F0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D27768" w:rsidRDefault="00000000">
            <w:r>
              <w:rPr>
                <w:b/>
                <w:bCs/>
                <w:color w:val="2E75B6"/>
              </w:rPr>
              <w:t xml:space="preserve">Theoretische Grundlage: Jason </w:t>
            </w:r>
            <w:proofErr w:type="spellStart"/>
            <w:r>
              <w:rPr>
                <w:b/>
                <w:bCs/>
                <w:color w:val="2E75B6"/>
              </w:rPr>
              <w:t>Wei's</w:t>
            </w:r>
            <w:proofErr w:type="spellEnd"/>
            <w:r>
              <w:rPr>
                <w:b/>
                <w:bCs/>
                <w:color w:val="2E75B6"/>
              </w:rPr>
              <w:t xml:space="preserve"> </w:t>
            </w:r>
            <w:proofErr w:type="spellStart"/>
            <w:r>
              <w:rPr>
                <w:b/>
                <w:bCs/>
                <w:color w:val="2E75B6"/>
              </w:rPr>
              <w:t>Verification</w:t>
            </w:r>
            <w:proofErr w:type="spellEnd"/>
            <w:r>
              <w:rPr>
                <w:b/>
                <w:bCs/>
                <w:color w:val="2E75B6"/>
              </w:rPr>
              <w:t xml:space="preserve"> Rule</w:t>
            </w:r>
          </w:p>
          <w:p w:rsidR="00D27768" w:rsidRDefault="00000000">
            <w:pPr>
              <w:spacing w:before="60"/>
              <w:jc w:val="both"/>
            </w:pPr>
            <w:r>
              <w:t>Die Problemanalyse stützt sich auf die Verifikationsregel von Jason Wei (2025), die postuliert: Die Schwierigkeit der Verifikation ist strukturell unabhängig von der Schwierigkeit der Generierung. Beide Dimensionen bilden eine 2×2-Matrix, den sog. Verifikationsquadranten, der als Klassifikationsrahmen für KI-Tasks im Vertrieb operationalisiert wird.</w:t>
            </w:r>
          </w:p>
        </w:tc>
      </w:tr>
    </w:tbl>
    <w:p w:rsidR="00D27768" w:rsidRDefault="00D27768"/>
    <w:p w:rsidR="00D27768" w:rsidRDefault="00000000">
      <w:pPr>
        <w:spacing w:before="120" w:after="120" w:line="360" w:lineRule="auto"/>
        <w:jc w:val="both"/>
      </w:pPr>
      <w:r>
        <w:t xml:space="preserve">Das Ergebnis des ersten Echelons ist eine </w:t>
      </w:r>
      <w:r>
        <w:rPr>
          <w:b/>
          <w:bCs/>
        </w:rPr>
        <w:t>präzise Problembeschreibung</w:t>
      </w:r>
      <w:r>
        <w:t>: Enterprise-SaaS-Sales-Interfaces sind bisher nicht auf die strukturelle Differenz zwischen Generierungsaufwand und Verifikationsaufwand ausgelegt. Es fehlt ein Gestaltungsrahmen, der diese Asymmetrie explizit adressiert und in konkrete UI-Muster übersetzt.</w:t>
      </w:r>
    </w:p>
    <w:p w:rsidR="00D27768" w:rsidRDefault="00D27768"/>
    <w:p w:rsidR="00D27768" w:rsidRDefault="00000000">
      <w:pPr>
        <w:pStyle w:val="berschrift2"/>
      </w:pPr>
      <w:proofErr w:type="gramStart"/>
      <w:r>
        <w:rPr>
          <w:sz w:val="28"/>
          <w:szCs w:val="28"/>
        </w:rPr>
        <w:t>4.3.2  Echelon</w:t>
      </w:r>
      <w:proofErr w:type="gramEnd"/>
      <w:r>
        <w:rPr>
          <w:sz w:val="28"/>
          <w:szCs w:val="28"/>
        </w:rPr>
        <w:t xml:space="preserve"> 2 – Zielsetzung und Anforderungen (Design </w:t>
      </w:r>
      <w:proofErr w:type="spellStart"/>
      <w:r>
        <w:rPr>
          <w:sz w:val="28"/>
          <w:szCs w:val="28"/>
        </w:rPr>
        <w:t>Objectives</w:t>
      </w:r>
      <w:proofErr w:type="spellEnd"/>
      <w:r>
        <w:rPr>
          <w:sz w:val="28"/>
          <w:szCs w:val="28"/>
        </w:rPr>
        <w:t>)</w:t>
      </w:r>
    </w:p>
    <w:p w:rsidR="00D27768" w:rsidRDefault="00000000">
      <w:pPr>
        <w:spacing w:before="120" w:after="120" w:line="360" w:lineRule="auto"/>
        <w:jc w:val="both"/>
      </w:pPr>
      <w:r>
        <w:t xml:space="preserve">Auf Basis der Problemanalyse werden im zweiten Echelon die </w:t>
      </w:r>
      <w:r>
        <w:rPr>
          <w:b/>
          <w:bCs/>
        </w:rPr>
        <w:t xml:space="preserve">Design </w:t>
      </w:r>
      <w:proofErr w:type="spellStart"/>
      <w:r>
        <w:rPr>
          <w:b/>
          <w:bCs/>
        </w:rPr>
        <w:t>Objectives</w:t>
      </w:r>
      <w:proofErr w:type="spellEnd"/>
      <w:r>
        <w:rPr>
          <w:b/>
          <w:bCs/>
        </w:rPr>
        <w:t xml:space="preserve"> (DOs)</w:t>
      </w:r>
      <w:r>
        <w:t xml:space="preserve"> formuliert. Diese beschreiben, was das </w:t>
      </w:r>
      <w:proofErr w:type="gramStart"/>
      <w:r>
        <w:t>zu gestaltende Artefakt</w:t>
      </w:r>
      <w:proofErr w:type="gramEnd"/>
      <w:r>
        <w:t xml:space="preserve"> leisten muss – abstrahiert von einer spezifischen technischen Lösung. Die DOs dienen als Bindeglied zwischen dem empirisch erfassten Problem und den später abgeleiteten Designprinzipien.</w:t>
      </w:r>
    </w:p>
    <w:p w:rsidR="00D27768" w:rsidRDefault="00D277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D2776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76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Design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Objective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768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D2776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768" w:rsidRDefault="00000000">
            <w:r>
              <w:rPr>
                <w:sz w:val="20"/>
                <w:szCs w:val="20"/>
              </w:rPr>
              <w:t>DO1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768" w:rsidRDefault="00000000">
            <w:r>
              <w:rPr>
                <w:sz w:val="20"/>
                <w:szCs w:val="20"/>
              </w:rPr>
              <w:t>Systematische Klassifikation von Enterprise-SaaS-Sales-Use-Cases anhand ihrer Generierungs- und Verifikationskomplexität in einem zweidimensionalen Rahmen (Verifikationsquadrant).</w:t>
            </w:r>
          </w:p>
        </w:tc>
      </w:tr>
      <w:tr w:rsidR="00D2776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768" w:rsidRDefault="00000000">
            <w:r>
              <w:rPr>
                <w:sz w:val="20"/>
                <w:szCs w:val="20"/>
              </w:rPr>
              <w:lastRenderedPageBreak/>
              <w:t>DO2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768" w:rsidRDefault="00000000">
            <w:r>
              <w:rPr>
                <w:sz w:val="20"/>
                <w:szCs w:val="20"/>
              </w:rPr>
              <w:t>Ableitung generalisierbarer, positionsspezifischer Interface-Design-</w:t>
            </w:r>
            <w:proofErr w:type="spellStart"/>
            <w:r>
              <w:rPr>
                <w:sz w:val="20"/>
                <w:szCs w:val="20"/>
              </w:rPr>
              <w:t>Principles</w:t>
            </w:r>
            <w:proofErr w:type="spellEnd"/>
            <w:r>
              <w:rPr>
                <w:sz w:val="20"/>
                <w:szCs w:val="20"/>
              </w:rPr>
              <w:t xml:space="preserve"> für jeden Quadranten des Verifikationsrahmens, die als Leitlinien für die Gestaltung KI-gestützter Sales-Interfaces dienen.</w:t>
            </w:r>
          </w:p>
        </w:tc>
      </w:tr>
    </w:tbl>
    <w:p w:rsidR="00D27768" w:rsidRDefault="00D27768"/>
    <w:p w:rsidR="00D27768" w:rsidRDefault="00000000">
      <w:pPr>
        <w:spacing w:before="120" w:after="120" w:line="360" w:lineRule="auto"/>
        <w:jc w:val="both"/>
      </w:pPr>
      <w:r>
        <w:t xml:space="preserve">Die DOs sind bewusst problemorientiert formuliert und stellen keine Lösungen dar. DO1 operationalisiert die Forschungsfrage </w:t>
      </w:r>
      <w:r>
        <w:rPr>
          <w:b/>
          <w:bCs/>
        </w:rPr>
        <w:t>HMW 1</w:t>
      </w:r>
      <w:r>
        <w:t xml:space="preserve"> ("Wie können Enterprise-SaaS-Sales-Use-Cases systematisch im Verifikationsquadranten klassifiziert werden?"), DO2 adressiert </w:t>
      </w:r>
      <w:r>
        <w:rPr>
          <w:b/>
          <w:bCs/>
        </w:rPr>
        <w:t>HMW 2</w:t>
      </w:r>
      <w:r>
        <w:t xml:space="preserve"> ("Welche Interface-Design-</w:t>
      </w:r>
      <w:proofErr w:type="spellStart"/>
      <w:r>
        <w:t>Principles</w:t>
      </w:r>
      <w:proofErr w:type="spellEnd"/>
      <w:r>
        <w:t xml:space="preserve"> lassen sich für jeden Quadranten ableiten?"). Beide DOs zusammen konstituieren den wissenschaftlichen Beitrag dieser Arbeit: nicht nur ein funktionales Artefakt, sondern ein </w:t>
      </w:r>
      <w:r>
        <w:rPr>
          <w:b/>
          <w:bCs/>
        </w:rPr>
        <w:t>generalisierbarer Gestaltungsrahmen</w:t>
      </w:r>
      <w:r>
        <w:t xml:space="preserve"> für KI-Interfaces in wissensintensiven Arbeitskontexten.</w:t>
      </w:r>
    </w:p>
    <w:p w:rsidR="00D27768" w:rsidRDefault="00D27768"/>
    <w:p w:rsidR="00D27768" w:rsidRDefault="00000000">
      <w:pPr>
        <w:pStyle w:val="berschrift2"/>
      </w:pPr>
      <w:proofErr w:type="gramStart"/>
      <w:r>
        <w:rPr>
          <w:sz w:val="28"/>
          <w:szCs w:val="28"/>
        </w:rPr>
        <w:t>4.3.3  Echelon</w:t>
      </w:r>
      <w:proofErr w:type="gramEnd"/>
      <w:r>
        <w:rPr>
          <w:sz w:val="28"/>
          <w:szCs w:val="28"/>
        </w:rPr>
        <w:t xml:space="preserve"> 3 – Design und Entwicklung (Design </w:t>
      </w:r>
      <w:proofErr w:type="spellStart"/>
      <w:r>
        <w:rPr>
          <w:sz w:val="28"/>
          <w:szCs w:val="28"/>
        </w:rPr>
        <w:t>Principles</w:t>
      </w:r>
      <w:proofErr w:type="spellEnd"/>
      <w:r>
        <w:rPr>
          <w:sz w:val="28"/>
          <w:szCs w:val="28"/>
        </w:rPr>
        <w:t xml:space="preserve"> &amp; Design Elements)</w:t>
      </w:r>
    </w:p>
    <w:p w:rsidR="00D27768" w:rsidRDefault="00000000">
      <w:pPr>
        <w:spacing w:before="120" w:after="120" w:line="360" w:lineRule="auto"/>
        <w:jc w:val="both"/>
      </w:pPr>
      <w:r>
        <w:t xml:space="preserve">Der dritte Echelon ist das Herzstück der DSR-Methodik: Hier werden aus den Design </w:t>
      </w:r>
      <w:proofErr w:type="spellStart"/>
      <w:r>
        <w:t>Objectives</w:t>
      </w:r>
      <w:proofErr w:type="spellEnd"/>
      <w:r>
        <w:t xml:space="preserve"> zunächst </w:t>
      </w:r>
      <w:r>
        <w:rPr>
          <w:b/>
          <w:bCs/>
        </w:rPr>
        <w:t xml:space="preserve">Design </w:t>
      </w:r>
      <w:proofErr w:type="spellStart"/>
      <w:r>
        <w:rPr>
          <w:b/>
          <w:bCs/>
        </w:rPr>
        <w:t>Principles</w:t>
      </w:r>
      <w:proofErr w:type="spellEnd"/>
      <w:r>
        <w:rPr>
          <w:b/>
          <w:bCs/>
        </w:rPr>
        <w:t xml:space="preserve"> (DPs)</w:t>
      </w:r>
      <w:r>
        <w:t xml:space="preserve"> abgeleitet – generalisierende Gestaltungsaussagen – und anschließend in konkrete </w:t>
      </w:r>
      <w:r>
        <w:rPr>
          <w:b/>
          <w:bCs/>
        </w:rPr>
        <w:t>Design Elements (DEs)</w:t>
      </w:r>
      <w:r>
        <w:t xml:space="preserve"> überführt, also in prototypische UI-Komponenten. DPs sind problemklassenspezifisch und sollen über den unmittelbaren Anwendungskontext hinaus </w:t>
      </w:r>
      <w:proofErr w:type="spellStart"/>
      <w:r>
        <w:t>projizierbar</w:t>
      </w:r>
      <w:proofErr w:type="spellEnd"/>
      <w:r>
        <w:t xml:space="preserve"> sein.</w:t>
      </w:r>
    </w:p>
    <w:p w:rsidR="00D27768" w:rsidRDefault="00D27768"/>
    <w:p w:rsidR="00D27768" w:rsidRDefault="00000000">
      <w:pPr>
        <w:pStyle w:val="berschrift3"/>
      </w:pPr>
      <w:r>
        <w:rPr>
          <w:sz w:val="24"/>
          <w:szCs w:val="24"/>
        </w:rPr>
        <w:t xml:space="preserve">Design </w:t>
      </w:r>
      <w:proofErr w:type="spellStart"/>
      <w:r>
        <w:rPr>
          <w:sz w:val="24"/>
          <w:szCs w:val="24"/>
        </w:rPr>
        <w:t>Principles</w:t>
      </w:r>
      <w:proofErr w:type="spellEnd"/>
      <w:r>
        <w:rPr>
          <w:sz w:val="24"/>
          <w:szCs w:val="24"/>
        </w:rPr>
        <w:t xml:space="preserve"> (DP1–DP5)</w:t>
      </w:r>
    </w:p>
    <w:p w:rsidR="00D27768" w:rsidRDefault="00000000">
      <w:pPr>
        <w:spacing w:before="120" w:after="120" w:line="360" w:lineRule="auto"/>
        <w:jc w:val="both"/>
      </w:pPr>
      <w:r>
        <w:t xml:space="preserve">Die fünf Design </w:t>
      </w:r>
      <w:proofErr w:type="spellStart"/>
      <w:r>
        <w:t>Principles</w:t>
      </w:r>
      <w:proofErr w:type="spellEnd"/>
      <w:r>
        <w:t xml:space="preserve"> wurden aus drei Quellen synthetisiert: (1) den Interviewerkenntnissen aus E1, (2) bestehenden HCI-Literaturbefunden zu Human-in-</w:t>
      </w:r>
      <w:proofErr w:type="spellStart"/>
      <w:r>
        <w:t>the</w:t>
      </w:r>
      <w:proofErr w:type="spellEnd"/>
      <w:r>
        <w:t xml:space="preserve">-Loop-Systemen und kognitiver Last, sowie (3) formativen Feedbackrunden mit Domänenexperten in E4. Jedes DP beschreibt eine spezifische </w:t>
      </w:r>
      <w:proofErr w:type="spellStart"/>
      <w:r>
        <w:t>Quadrantenposition</w:t>
      </w:r>
      <w:proofErr w:type="spellEnd"/>
      <w:r>
        <w:t xml:space="preserve"> und die daraus folgende Gestaltungslogik:</w:t>
      </w:r>
    </w:p>
    <w:p w:rsidR="00D27768" w:rsidRDefault="00D277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D2776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76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Design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Principle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768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 &amp; Gestaltungslogik</w:t>
            </w:r>
          </w:p>
        </w:tc>
      </w:tr>
      <w:tr w:rsidR="00D2776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768" w:rsidRDefault="00000000">
            <w:r>
              <w:rPr>
                <w:sz w:val="20"/>
                <w:szCs w:val="20"/>
              </w:rPr>
              <w:t>DP1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768" w:rsidRDefault="00000000">
            <w:r>
              <w:rPr>
                <w:sz w:val="20"/>
                <w:szCs w:val="20"/>
              </w:rPr>
              <w:t xml:space="preserve">Verifikationsquadrant als Klassifikationsrahmen: KI-Tasks im Enterprise-SaaS-Vertrieb werden entlang der Dimensionen Generierungskomplexität (x-Achse) und Verifikationsschwierigkeit (y-Achse) klassifiziert. Die </w:t>
            </w:r>
            <w:proofErr w:type="spellStart"/>
            <w:r>
              <w:rPr>
                <w:sz w:val="20"/>
                <w:szCs w:val="20"/>
              </w:rPr>
              <w:t>Quadrantenposition</w:t>
            </w:r>
            <w:proofErr w:type="spellEnd"/>
            <w:r>
              <w:rPr>
                <w:sz w:val="20"/>
                <w:szCs w:val="20"/>
              </w:rPr>
              <w:t xml:space="preserve"> bestimmt den erforderlichen Grad menschlicher Kontrolle und das adäquate Interface-Muster.</w:t>
            </w:r>
          </w:p>
        </w:tc>
      </w:tr>
      <w:tr w:rsidR="00D2776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768" w:rsidRDefault="00000000">
            <w:r>
              <w:rPr>
                <w:sz w:val="20"/>
                <w:szCs w:val="20"/>
              </w:rPr>
              <w:t>DP2 (Q-B)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768" w:rsidRDefault="00000000">
            <w:r>
              <w:rPr>
                <w:sz w:val="20"/>
                <w:szCs w:val="20"/>
              </w:rPr>
              <w:t xml:space="preserve">Strukturierte Batch-Verifikation: Bei Tasks mit hoher Generierungskomplexität und niedriger Verifikationsschwierigkeit </w:t>
            </w:r>
            <w:r>
              <w:rPr>
                <w:sz w:val="20"/>
                <w:szCs w:val="20"/>
              </w:rPr>
              <w:lastRenderedPageBreak/>
              <w:t xml:space="preserve">(Sweet Spot) aggregiert die Oberfläche KI-Ergebnisse in übersichtlichen Listen. Der Nutzer kann mit minimalem Aufwand validieren oder ablehnen. Ausnahmen werden explizit hervorgehoben. → </w:t>
            </w:r>
            <w:proofErr w:type="spellStart"/>
            <w:r>
              <w:rPr>
                <w:sz w:val="20"/>
                <w:szCs w:val="20"/>
              </w:rPr>
              <w:t>Notification</w:t>
            </w:r>
            <w:proofErr w:type="spellEnd"/>
            <w:r>
              <w:rPr>
                <w:sz w:val="20"/>
                <w:szCs w:val="20"/>
              </w:rPr>
              <w:t xml:space="preserve"> Inbox</w:t>
            </w:r>
          </w:p>
        </w:tc>
      </w:tr>
      <w:tr w:rsidR="00D2776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768" w:rsidRDefault="00000000">
            <w:r>
              <w:rPr>
                <w:sz w:val="20"/>
                <w:szCs w:val="20"/>
              </w:rPr>
              <w:lastRenderedPageBreak/>
              <w:t>DP3 (Q-C)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768" w:rsidRDefault="00000000">
            <w:r>
              <w:rPr>
                <w:sz w:val="20"/>
                <w:szCs w:val="20"/>
              </w:rPr>
              <w:t xml:space="preserve">Evidenzakkumulation über Zeit: Bei Tasks mit niedriger Generierungskomplexität, aber hoher Verifikationsschwierigkeit werden alle für die Prüfung relevanten Artefakte – Dokumente, Aktivitäten, Kommunikationshistorie – systematisch angezeigt. Der Nutzer trifft eine informierte Entscheidung auf Basis akkumulierter Evidenz. → </w:t>
            </w:r>
            <w:proofErr w:type="spellStart"/>
            <w:r>
              <w:rPr>
                <w:sz w:val="20"/>
                <w:szCs w:val="20"/>
              </w:rPr>
              <w:t>Evidence</w:t>
            </w:r>
            <w:proofErr w:type="spellEnd"/>
            <w:r>
              <w:rPr>
                <w:sz w:val="20"/>
                <w:szCs w:val="20"/>
              </w:rPr>
              <w:t xml:space="preserve"> Canvas</w:t>
            </w:r>
          </w:p>
        </w:tc>
      </w:tr>
      <w:tr w:rsidR="00D2776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768" w:rsidRDefault="00000000">
            <w:r>
              <w:rPr>
                <w:sz w:val="20"/>
                <w:szCs w:val="20"/>
              </w:rPr>
              <w:t>DP4 (Q-D)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768" w:rsidRDefault="00000000">
            <w:r>
              <w:rPr>
                <w:sz w:val="20"/>
                <w:szCs w:val="20"/>
              </w:rPr>
              <w:t>Kontextreiches Entscheidungs-</w:t>
            </w:r>
            <w:proofErr w:type="spellStart"/>
            <w:r>
              <w:rPr>
                <w:sz w:val="20"/>
                <w:szCs w:val="20"/>
              </w:rPr>
              <w:t>Scaffolding</w:t>
            </w:r>
            <w:proofErr w:type="spellEnd"/>
            <w:r>
              <w:rPr>
                <w:sz w:val="20"/>
                <w:szCs w:val="20"/>
              </w:rPr>
              <w:t xml:space="preserve">: Bei maximal schwieriger Generierung und Verifikation wird der Nutzer durch einen strukturierten Entscheidungsprozess geführt. Das Interface stellt pro Entscheidung alle notwendigen Kontextdaten bereit und minimiert kognitive Überlastung. → </w:t>
            </w:r>
            <w:proofErr w:type="spellStart"/>
            <w:r>
              <w:rPr>
                <w:sz w:val="20"/>
                <w:szCs w:val="20"/>
              </w:rPr>
              <w:t>Decision</w:t>
            </w:r>
            <w:proofErr w:type="spellEnd"/>
            <w:r>
              <w:rPr>
                <w:sz w:val="20"/>
                <w:szCs w:val="20"/>
              </w:rPr>
              <w:t xml:space="preserve"> Inbox</w:t>
            </w:r>
          </w:p>
        </w:tc>
      </w:tr>
      <w:tr w:rsidR="00D2776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768" w:rsidRDefault="00000000">
            <w:r>
              <w:rPr>
                <w:sz w:val="20"/>
                <w:szCs w:val="20"/>
              </w:rPr>
              <w:t>DP5 (Q-A)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768" w:rsidRDefault="00000000">
            <w:r>
              <w:rPr>
                <w:sz w:val="20"/>
                <w:szCs w:val="20"/>
              </w:rPr>
              <w:t>Ausnahmebasierte Überwachung (</w:t>
            </w:r>
            <w:proofErr w:type="spellStart"/>
            <w:r>
              <w:rPr>
                <w:sz w:val="20"/>
                <w:szCs w:val="20"/>
              </w:rPr>
              <w:t>Exception-based</w:t>
            </w:r>
            <w:proofErr w:type="spellEnd"/>
            <w:r>
              <w:rPr>
                <w:sz w:val="20"/>
                <w:szCs w:val="20"/>
              </w:rPr>
              <w:t xml:space="preserve"> HITL): Bei niedriger Generierungs- und Verifikationskomplexität agiert KI weitgehend autonom. Der Mensch greift nur bei expliziten Unsicherheitssignalen ein. Das Interface folgt einem Kanban-Paradigma: Aufgaben fließen automatisch, nur Ausnahmen erfordern menschliche Entscheidung. → HITL Kanban</w:t>
            </w:r>
          </w:p>
        </w:tc>
      </w:tr>
    </w:tbl>
    <w:p w:rsidR="00D27768" w:rsidRDefault="00D27768"/>
    <w:p w:rsidR="00D27768" w:rsidRDefault="00000000">
      <w:pPr>
        <w:pStyle w:val="berschrift3"/>
      </w:pPr>
      <w:r>
        <w:rPr>
          <w:sz w:val="24"/>
          <w:szCs w:val="24"/>
        </w:rPr>
        <w:t>Design Elements (DE1–DE4)</w:t>
      </w:r>
    </w:p>
    <w:p w:rsidR="00D27768" w:rsidRDefault="00000000">
      <w:pPr>
        <w:spacing w:before="120" w:after="120" w:line="360" w:lineRule="auto"/>
        <w:jc w:val="both"/>
      </w:pPr>
      <w:r>
        <w:t xml:space="preserve">Die Design Elements sind die konkreten, prototypisch implementierten UI-Komponenten, die jeweils ein DP instanziieren. Sie stellen den Proof </w:t>
      </w:r>
      <w:proofErr w:type="spellStart"/>
      <w:r>
        <w:t>of</w:t>
      </w:r>
      <w:proofErr w:type="spellEnd"/>
      <w:r>
        <w:t xml:space="preserve"> Concept (PoC) dar und wurden in drei Iterationen verfeinert (vgl. E4):</w:t>
      </w:r>
    </w:p>
    <w:p w:rsidR="00D27768" w:rsidRDefault="00D277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D2776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768" w:rsidRDefault="00000000">
            <w:r>
              <w:rPr>
                <w:b/>
                <w:bCs/>
                <w:color w:val="FFFFFF"/>
                <w:sz w:val="20"/>
                <w:szCs w:val="20"/>
              </w:rPr>
              <w:t>Design Element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768" w:rsidRDefault="00000000">
            <w:r>
              <w:rPr>
                <w:b/>
                <w:bCs/>
                <w:color w:val="FFFFFF"/>
                <w:sz w:val="20"/>
                <w:szCs w:val="20"/>
              </w:rPr>
              <w:t>Prototypische Implementierung</w:t>
            </w:r>
          </w:p>
        </w:tc>
      </w:tr>
      <w:tr w:rsidR="00D2776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768" w:rsidRDefault="00000000">
            <w:r>
              <w:rPr>
                <w:sz w:val="20"/>
                <w:szCs w:val="20"/>
              </w:rPr>
              <w:t xml:space="preserve">DE1 – </w:t>
            </w:r>
            <w:proofErr w:type="spellStart"/>
            <w:r>
              <w:rPr>
                <w:sz w:val="20"/>
                <w:szCs w:val="20"/>
              </w:rPr>
              <w:t>Notification</w:t>
            </w:r>
            <w:proofErr w:type="spellEnd"/>
            <w:r>
              <w:rPr>
                <w:sz w:val="20"/>
                <w:szCs w:val="20"/>
              </w:rPr>
              <w:t xml:space="preserve"> Inbox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768" w:rsidRDefault="00000000">
            <w:r>
              <w:rPr>
                <w:sz w:val="20"/>
                <w:szCs w:val="20"/>
              </w:rPr>
              <w:t xml:space="preserve">Implementiert DP2 (Q-B). Eine </w:t>
            </w:r>
            <w:proofErr w:type="spellStart"/>
            <w:r>
              <w:rPr>
                <w:sz w:val="20"/>
                <w:szCs w:val="20"/>
              </w:rPr>
              <w:t>inbox</w:t>
            </w:r>
            <w:proofErr w:type="spellEnd"/>
            <w:r>
              <w:rPr>
                <w:sz w:val="20"/>
                <w:szCs w:val="20"/>
              </w:rPr>
              <w:t>-ähnliche Listenansicht, in der KI-generierte Vorschläge (z. B. personalisierte E-Mail-</w:t>
            </w:r>
            <w:proofErr w:type="spellStart"/>
            <w:r>
              <w:rPr>
                <w:sz w:val="20"/>
                <w:szCs w:val="20"/>
              </w:rPr>
              <w:t>Drafts</w:t>
            </w:r>
            <w:proofErr w:type="spellEnd"/>
            <w:r>
              <w:rPr>
                <w:sz w:val="20"/>
                <w:szCs w:val="20"/>
              </w:rPr>
              <w:t>) pro Account gebündelt werden. Jeder Eintrag zeigt eine kompakte Vorschau; der Nutzer bestätigt, bearbeitet oder verwirft per Single-Click. Ein Confidence-Score signalisiert KI-Sicherheit und steuert die Reihenfolge.</w:t>
            </w:r>
          </w:p>
        </w:tc>
      </w:tr>
      <w:tr w:rsidR="00D2776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768" w:rsidRDefault="00000000">
            <w:r>
              <w:rPr>
                <w:sz w:val="20"/>
                <w:szCs w:val="20"/>
              </w:rPr>
              <w:t xml:space="preserve">DE2 – </w:t>
            </w:r>
            <w:proofErr w:type="spellStart"/>
            <w:r>
              <w:rPr>
                <w:sz w:val="20"/>
                <w:szCs w:val="20"/>
              </w:rPr>
              <w:t>Evidence</w:t>
            </w:r>
            <w:proofErr w:type="spellEnd"/>
            <w:r>
              <w:rPr>
                <w:sz w:val="20"/>
                <w:szCs w:val="20"/>
              </w:rPr>
              <w:t xml:space="preserve"> Canvas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768" w:rsidRDefault="00000000">
            <w:r>
              <w:rPr>
                <w:sz w:val="20"/>
                <w:szCs w:val="20"/>
              </w:rPr>
              <w:t xml:space="preserve">Implementiert DP3 (Q-C). Ein zweigeteiltes Layout: links die KI-generierte Antwort (z. B. ausgefülltes Security </w:t>
            </w:r>
            <w:proofErr w:type="spellStart"/>
            <w:r>
              <w:rPr>
                <w:sz w:val="20"/>
                <w:szCs w:val="20"/>
              </w:rPr>
              <w:t>Questionnaire</w:t>
            </w:r>
            <w:proofErr w:type="spellEnd"/>
            <w:r>
              <w:rPr>
                <w:sz w:val="20"/>
                <w:szCs w:val="20"/>
              </w:rPr>
              <w:t>); rechts ein kontextueller Evidenz-Feed mit relevanten Dokumenten, vergangenen Interaktionen und Unternehmens-Daten. Der Nutzer kann Quellen inline referenzieren und seine Verifikationsentscheidung dokumentieren.</w:t>
            </w:r>
          </w:p>
        </w:tc>
      </w:tr>
      <w:tr w:rsidR="00D2776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768" w:rsidRDefault="00000000">
            <w:r>
              <w:rPr>
                <w:sz w:val="20"/>
                <w:szCs w:val="20"/>
              </w:rPr>
              <w:t xml:space="preserve">DE3 – </w:t>
            </w:r>
            <w:proofErr w:type="spellStart"/>
            <w:r>
              <w:rPr>
                <w:sz w:val="20"/>
                <w:szCs w:val="20"/>
              </w:rPr>
              <w:t>Decision</w:t>
            </w:r>
            <w:proofErr w:type="spellEnd"/>
            <w:r>
              <w:rPr>
                <w:sz w:val="20"/>
                <w:szCs w:val="20"/>
              </w:rPr>
              <w:t xml:space="preserve"> Inbox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768" w:rsidRDefault="00000000">
            <w:r>
              <w:rPr>
                <w:sz w:val="20"/>
                <w:szCs w:val="20"/>
              </w:rPr>
              <w:t>Implementiert DP4 (Q-D). Eine strukturierte Entscheidungsmaske für hochkomplexe Tasks (z. B. Deal-Risikobewertung). Das Interface zergliedert den Entscheidungsprozess in klar abgegrenzte Schritte (Wizard-Paradigma), stellt pro Schritt kontextuell relevante Daten bereit und protokolliert die Entscheidungsrationale für spätere Audit-Trails.</w:t>
            </w:r>
          </w:p>
        </w:tc>
      </w:tr>
      <w:tr w:rsidR="00D2776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768" w:rsidRDefault="00000000">
            <w:r>
              <w:rPr>
                <w:sz w:val="20"/>
                <w:szCs w:val="20"/>
              </w:rPr>
              <w:t>DE4 – HITL Kanban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768" w:rsidRDefault="00000000">
            <w:r>
              <w:rPr>
                <w:sz w:val="20"/>
                <w:szCs w:val="20"/>
              </w:rPr>
              <w:t>Implementiert DP5 (Q-A). Ein Kanban-Board, auf dem KI-Tasks in Status-Spalten (</w:t>
            </w:r>
            <w:proofErr w:type="spellStart"/>
            <w:r>
              <w:rPr>
                <w:sz w:val="20"/>
                <w:szCs w:val="20"/>
              </w:rPr>
              <w:t>Pending</w:t>
            </w:r>
            <w:proofErr w:type="spellEnd"/>
            <w:r>
              <w:rPr>
                <w:sz w:val="20"/>
                <w:szCs w:val="20"/>
              </w:rPr>
              <w:t xml:space="preserve">, In Review, </w:t>
            </w:r>
            <w:proofErr w:type="spellStart"/>
            <w:r>
              <w:rPr>
                <w:sz w:val="20"/>
                <w:szCs w:val="20"/>
              </w:rPr>
              <w:t>Done</w:t>
            </w:r>
            <w:proofErr w:type="spellEnd"/>
            <w:r>
              <w:rPr>
                <w:sz w:val="20"/>
                <w:szCs w:val="20"/>
              </w:rPr>
              <w:t xml:space="preserve">) fließen. Reguläre Tasks </w:t>
            </w:r>
            <w:r>
              <w:rPr>
                <w:sz w:val="20"/>
                <w:szCs w:val="20"/>
              </w:rPr>
              <w:lastRenderedPageBreak/>
              <w:t xml:space="preserve">werden automatisch weitergeleitet; nur Items mit niedrigem Confidence-Score oder expliziten </w:t>
            </w:r>
            <w:proofErr w:type="spellStart"/>
            <w:r>
              <w:rPr>
                <w:sz w:val="20"/>
                <w:szCs w:val="20"/>
              </w:rPr>
              <w:t>Fehlerflags</w:t>
            </w:r>
            <w:proofErr w:type="spellEnd"/>
            <w:r>
              <w:rPr>
                <w:sz w:val="20"/>
                <w:szCs w:val="20"/>
              </w:rPr>
              <w:t xml:space="preserve"> landen in der menschlichen Review-Spalte. Ziel ist maximale Durchsatzrate bei minimaler menschlicher Aufmerksamkeit.</w:t>
            </w:r>
          </w:p>
        </w:tc>
      </w:tr>
    </w:tbl>
    <w:p w:rsidR="00D27768" w:rsidRDefault="00D27768"/>
    <w:p w:rsidR="00D27768" w:rsidRDefault="00000000">
      <w:pPr>
        <w:pStyle w:val="berschrift2"/>
      </w:pPr>
      <w:proofErr w:type="gramStart"/>
      <w:r>
        <w:rPr>
          <w:sz w:val="28"/>
          <w:szCs w:val="28"/>
        </w:rPr>
        <w:t>4.3.4  Echelon</w:t>
      </w:r>
      <w:proofErr w:type="gramEnd"/>
      <w:r>
        <w:rPr>
          <w:sz w:val="28"/>
          <w:szCs w:val="28"/>
        </w:rPr>
        <w:t xml:space="preserve"> 4 – Demonstration (Iterative Prototypenentwicklung)</w:t>
      </w:r>
    </w:p>
    <w:p w:rsidR="00D27768" w:rsidRDefault="00000000">
      <w:pPr>
        <w:spacing w:before="120" w:after="120" w:line="360" w:lineRule="auto"/>
        <w:jc w:val="both"/>
      </w:pPr>
      <w:r>
        <w:t xml:space="preserve">Im vierten Echelon werden die Design Elements in einem realistischen Kontext demonstriert. Die Demonstration folgt einem </w:t>
      </w:r>
      <w:r>
        <w:rPr>
          <w:b/>
          <w:bCs/>
        </w:rPr>
        <w:t xml:space="preserve">iterativen </w:t>
      </w:r>
      <w:proofErr w:type="spellStart"/>
      <w:r>
        <w:rPr>
          <w:b/>
          <w:bCs/>
        </w:rPr>
        <w:t>Prototyping</w:t>
      </w:r>
      <w:proofErr w:type="spellEnd"/>
      <w:r>
        <w:rPr>
          <w:b/>
          <w:bCs/>
        </w:rPr>
        <w:t>-Prozess</w:t>
      </w:r>
      <w:r>
        <w:t xml:space="preserve"> über drei Entwicklungsrunden, in denen jede Version (V1 → V2 → V3) auf Basis von Expertenfeedback und formativen Nutzertests weiterentwickelt wurde.</w:t>
      </w:r>
    </w:p>
    <w:p w:rsidR="00D27768" w:rsidRDefault="00D277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D2776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768" w:rsidRDefault="00000000">
            <w:r>
              <w:rPr>
                <w:b/>
                <w:bCs/>
                <w:color w:val="FFFFFF"/>
                <w:sz w:val="20"/>
                <w:szCs w:val="20"/>
              </w:rPr>
              <w:t>Iteration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768" w:rsidRDefault="00000000">
            <w:r>
              <w:rPr>
                <w:b/>
                <w:bCs/>
                <w:color w:val="FFFFFF"/>
                <w:sz w:val="20"/>
                <w:szCs w:val="20"/>
              </w:rPr>
              <w:t>Inhalt &amp; Ergebnis</w:t>
            </w:r>
          </w:p>
        </w:tc>
      </w:tr>
      <w:tr w:rsidR="00D2776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768" w:rsidRDefault="00000000">
            <w:r>
              <w:rPr>
                <w:sz w:val="20"/>
                <w:szCs w:val="20"/>
              </w:rPr>
              <w:t>Iteration 1 (V1 – Low Fidelity)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768" w:rsidRDefault="00000000">
            <w:r>
              <w:rPr>
                <w:sz w:val="20"/>
                <w:szCs w:val="20"/>
              </w:rPr>
              <w:t xml:space="preserve">Papierprototypen und </w:t>
            </w:r>
            <w:proofErr w:type="spellStart"/>
            <w:r>
              <w:rPr>
                <w:sz w:val="20"/>
                <w:szCs w:val="20"/>
              </w:rPr>
              <w:t>Clickdummies</w:t>
            </w:r>
            <w:proofErr w:type="spellEnd"/>
            <w:r>
              <w:rPr>
                <w:sz w:val="20"/>
                <w:szCs w:val="20"/>
              </w:rPr>
              <w:t xml:space="preserve"> aller vier DEs. Ziel: Grundlegende Überprüfung der Designlogik und Verständlichkeit des </w:t>
            </w:r>
            <w:proofErr w:type="spellStart"/>
            <w:r>
              <w:rPr>
                <w:sz w:val="20"/>
                <w:szCs w:val="20"/>
              </w:rPr>
              <w:t>Quadrantenrahmens</w:t>
            </w:r>
            <w:proofErr w:type="spellEnd"/>
            <w:r>
              <w:rPr>
                <w:sz w:val="20"/>
                <w:szCs w:val="20"/>
              </w:rPr>
              <w:t>. Formative Evaluierung mit drei Vertriebs-experten. Ergebnis: Grundkonzept validiert; DE2 (</w:t>
            </w:r>
            <w:proofErr w:type="spellStart"/>
            <w:r>
              <w:rPr>
                <w:sz w:val="20"/>
                <w:szCs w:val="20"/>
              </w:rPr>
              <w:t>Evidence</w:t>
            </w:r>
            <w:proofErr w:type="spellEnd"/>
            <w:r>
              <w:rPr>
                <w:sz w:val="20"/>
                <w:szCs w:val="20"/>
              </w:rPr>
              <w:t xml:space="preserve"> Canvas) initial überarbeitet – zu viele parallele Informationsebenen führten zu Überforderung.</w:t>
            </w:r>
          </w:p>
        </w:tc>
      </w:tr>
      <w:tr w:rsidR="00D2776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768" w:rsidRDefault="00000000">
            <w:r>
              <w:rPr>
                <w:sz w:val="20"/>
                <w:szCs w:val="20"/>
              </w:rPr>
              <w:t>Iteration 2 (V2 – Mid Fidelity)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768" w:rsidRDefault="00000000">
            <w:r>
              <w:rPr>
                <w:sz w:val="20"/>
                <w:szCs w:val="20"/>
              </w:rPr>
              <w:t xml:space="preserve">Interaktive </w:t>
            </w:r>
            <w:proofErr w:type="spellStart"/>
            <w:r>
              <w:rPr>
                <w:sz w:val="20"/>
                <w:szCs w:val="20"/>
              </w:rPr>
              <w:t>Figma</w:t>
            </w:r>
            <w:proofErr w:type="spellEnd"/>
            <w:r>
              <w:rPr>
                <w:sz w:val="20"/>
                <w:szCs w:val="20"/>
              </w:rPr>
              <w:t>-Prototypen. DE1 (</w:t>
            </w:r>
            <w:proofErr w:type="spellStart"/>
            <w:r>
              <w:rPr>
                <w:sz w:val="20"/>
                <w:szCs w:val="20"/>
              </w:rPr>
              <w:t>Notification</w:t>
            </w:r>
            <w:proofErr w:type="spellEnd"/>
            <w:r>
              <w:rPr>
                <w:sz w:val="20"/>
                <w:szCs w:val="20"/>
              </w:rPr>
              <w:t xml:space="preserve"> Inbox) um Confidence-Score-Visualisierung ergänzt; DE3 (</w:t>
            </w:r>
            <w:proofErr w:type="spellStart"/>
            <w:r>
              <w:rPr>
                <w:sz w:val="20"/>
                <w:szCs w:val="20"/>
              </w:rPr>
              <w:t>Decision</w:t>
            </w:r>
            <w:proofErr w:type="spellEnd"/>
            <w:r>
              <w:rPr>
                <w:sz w:val="20"/>
                <w:szCs w:val="20"/>
              </w:rPr>
              <w:t xml:space="preserve"> Inbox) um Wizard-Struktur vereinfacht. Formative Evaluierung mit fünf Nutzern im Think-</w:t>
            </w:r>
            <w:proofErr w:type="spellStart"/>
            <w:r>
              <w:rPr>
                <w:sz w:val="20"/>
                <w:szCs w:val="20"/>
              </w:rPr>
              <w:t>Aloud</w:t>
            </w:r>
            <w:proofErr w:type="spellEnd"/>
            <w:r>
              <w:rPr>
                <w:sz w:val="20"/>
                <w:szCs w:val="20"/>
              </w:rPr>
              <w:t>-Verfahren. Ergebnis: Signifikante Verbesserung der Task-</w:t>
            </w:r>
            <w:proofErr w:type="spellStart"/>
            <w:r>
              <w:rPr>
                <w:sz w:val="20"/>
                <w:szCs w:val="20"/>
              </w:rPr>
              <w:t>Completion</w:t>
            </w:r>
            <w:proofErr w:type="spellEnd"/>
            <w:r>
              <w:rPr>
                <w:sz w:val="20"/>
                <w:szCs w:val="20"/>
              </w:rPr>
              <w:t>-Rate bei DE3; DE4 (HITL Kanban) wurde konzeptuell überarbeitet – autonome KI-Freigabe erforderte explizite Threshold-Konfiguration durch den Nutzer.</w:t>
            </w:r>
          </w:p>
        </w:tc>
      </w:tr>
      <w:tr w:rsidR="00D2776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768" w:rsidRDefault="00000000">
            <w:r>
              <w:rPr>
                <w:sz w:val="20"/>
                <w:szCs w:val="20"/>
              </w:rPr>
              <w:t>Iteration 3 (V3 – High Fidelity)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768" w:rsidRDefault="00000000">
            <w:r>
              <w:rPr>
                <w:sz w:val="20"/>
                <w:szCs w:val="20"/>
              </w:rPr>
              <w:t>Funktionaler Prototyp in React/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>. Alle DEs vollständig implementiert und mit synthetischen Vertriebsdaten befüllt. Anbindung an simulierten KI-Backend (Mock-API). Grundlage für summative Evaluation in E5.</w:t>
            </w:r>
          </w:p>
        </w:tc>
      </w:tr>
    </w:tbl>
    <w:p w:rsidR="00D27768" w:rsidRDefault="00D27768"/>
    <w:p w:rsidR="00D27768" w:rsidRDefault="00000000">
      <w:pPr>
        <w:spacing w:before="120" w:after="120" w:line="360" w:lineRule="auto"/>
        <w:jc w:val="both"/>
      </w:pPr>
      <w:r>
        <w:t xml:space="preserve">Die Iterationen folgen dem </w:t>
      </w:r>
      <w:proofErr w:type="spellStart"/>
      <w:r>
        <w:rPr>
          <w:b/>
          <w:bCs/>
        </w:rPr>
        <w:t>Build</w:t>
      </w:r>
      <w:proofErr w:type="spellEnd"/>
      <w:r>
        <w:rPr>
          <w:b/>
          <w:bCs/>
        </w:rPr>
        <w:t>-</w:t>
      </w:r>
      <w:proofErr w:type="spellStart"/>
      <w:r>
        <w:rPr>
          <w:b/>
          <w:bCs/>
        </w:rPr>
        <w:t>Measure</w:t>
      </w:r>
      <w:proofErr w:type="spellEnd"/>
      <w:r>
        <w:rPr>
          <w:b/>
          <w:bCs/>
        </w:rPr>
        <w:t>-</w:t>
      </w:r>
      <w:proofErr w:type="spellStart"/>
      <w:r>
        <w:rPr>
          <w:b/>
          <w:bCs/>
        </w:rPr>
        <w:t>Learn</w:t>
      </w:r>
      <w:proofErr w:type="spellEnd"/>
      <w:r>
        <w:rPr>
          <w:b/>
          <w:bCs/>
        </w:rPr>
        <w:t>-Prinzip</w:t>
      </w:r>
      <w:r>
        <w:t xml:space="preserve"> und sind methodisch als </w:t>
      </w:r>
      <w:r>
        <w:rPr>
          <w:b/>
          <w:bCs/>
        </w:rPr>
        <w:t xml:space="preserve">Proof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Concept (PoC)</w:t>
      </w:r>
      <w:r>
        <w:t xml:space="preserve"> konzipiert: Es wird nicht behauptet, eine produktionsreife Lösung zu liefern, sondern die grundsätzliche Machbarkeit und Tauglichkeit der Design </w:t>
      </w:r>
      <w:proofErr w:type="spellStart"/>
      <w:r>
        <w:t>Principles</w:t>
      </w:r>
      <w:proofErr w:type="spellEnd"/>
      <w:r>
        <w:t xml:space="preserve"> unter realistischen Bedingungen zu demonstrieren. Die abschließende V3 stellt den Übergang zur summativen Evaluation sicher.</w:t>
      </w:r>
    </w:p>
    <w:p w:rsidR="00D27768" w:rsidRDefault="00D27768"/>
    <w:p w:rsidR="00D27768" w:rsidRDefault="00000000">
      <w:pPr>
        <w:pStyle w:val="berschrift2"/>
      </w:pPr>
      <w:proofErr w:type="gramStart"/>
      <w:r>
        <w:rPr>
          <w:sz w:val="28"/>
          <w:szCs w:val="28"/>
        </w:rPr>
        <w:t>4.3.5  Echelon</w:t>
      </w:r>
      <w:proofErr w:type="gramEnd"/>
      <w:r>
        <w:rPr>
          <w:sz w:val="28"/>
          <w:szCs w:val="28"/>
        </w:rPr>
        <w:t xml:space="preserve"> 5 – Evaluation</w:t>
      </w:r>
    </w:p>
    <w:p w:rsidR="00D27768" w:rsidRDefault="00000000">
      <w:pPr>
        <w:spacing w:before="120" w:after="120" w:line="360" w:lineRule="auto"/>
        <w:jc w:val="both"/>
      </w:pPr>
      <w:r>
        <w:lastRenderedPageBreak/>
        <w:t xml:space="preserve">Der fünfte Echelon schließt den Forschungsprozess mit einer </w:t>
      </w:r>
      <w:r>
        <w:rPr>
          <w:b/>
          <w:bCs/>
        </w:rPr>
        <w:t>summativen Evaluation</w:t>
      </w:r>
      <w:r>
        <w:t xml:space="preserve"> ab, die in zwei Teilen durchgeführt wurde: (1) qualitative Evaluierungsinterviews zur nutzerseitigen Bewertung der Design Elements, und (2) eine Beurteilung der </w:t>
      </w:r>
      <w:proofErr w:type="spellStart"/>
      <w:r>
        <w:rPr>
          <w:b/>
          <w:bCs/>
        </w:rPr>
        <w:t>Projizierbarkeit</w:t>
      </w:r>
      <w:proofErr w:type="spellEnd"/>
      <w:r>
        <w:t xml:space="preserve"> der abgeleiteten Design </w:t>
      </w:r>
      <w:proofErr w:type="spellStart"/>
      <w:r>
        <w:t>Principles</w:t>
      </w:r>
      <w:proofErr w:type="spellEnd"/>
      <w:r>
        <w:t xml:space="preserve"> auf verwandte Kontexte.</w:t>
      </w:r>
    </w:p>
    <w:p w:rsidR="00D27768" w:rsidRDefault="00D27768"/>
    <w:p w:rsidR="00D27768" w:rsidRDefault="00000000">
      <w:pPr>
        <w:pStyle w:val="berschrift3"/>
      </w:pPr>
      <w:r>
        <w:rPr>
          <w:sz w:val="24"/>
          <w:szCs w:val="24"/>
        </w:rPr>
        <w:t>Evaluierungsinterviews</w:t>
      </w:r>
    </w:p>
    <w:p w:rsidR="00D27768" w:rsidRDefault="00000000">
      <w:pPr>
        <w:spacing w:before="120" w:after="120" w:line="360" w:lineRule="auto"/>
        <w:jc w:val="both"/>
      </w:pPr>
      <w:r>
        <w:t xml:space="preserve">Es wurden </w:t>
      </w:r>
      <w:r>
        <w:rPr>
          <w:b/>
          <w:bCs/>
        </w:rPr>
        <w:t>sechs semi-strukturierte Evaluierungsinterviews</w:t>
      </w:r>
      <w:r>
        <w:t xml:space="preserve"> mit Enterprise-SaaS-Sales-Professionals geführt (davon drei Teilnehmer aus E1 für Längsschnittperspektive, drei neue Teilnehmer für externe Validität). Die Interviews umfassten </w:t>
      </w:r>
      <w:proofErr w:type="spellStart"/>
      <w:r>
        <w:t>szenariobasierte</w:t>
      </w:r>
      <w:proofErr w:type="spellEnd"/>
      <w:r>
        <w:t xml:space="preserve"> Aufgaben am V3-Prototyp sowie strukturierte Leitfadenfragen zu wahrgenommenem Nutzen, kognitiver Last, Vertrauen in KI-Ausgaben und Adoptionsbereitschaft.</w:t>
      </w:r>
    </w:p>
    <w:p w:rsidR="00D27768" w:rsidRDefault="00000000">
      <w:pPr>
        <w:spacing w:before="120" w:after="120" w:line="360" w:lineRule="auto"/>
        <w:jc w:val="both"/>
      </w:pPr>
      <w:r>
        <w:t xml:space="preserve">Die Auswertung erfolgte mittels thematischer Analyse. Zentrale Befunde: Alle vier DEs wurden als nützlich und kontextuell angemessen bewertet. Besonders positiv hervorgehoben wurde die Explizitheit des </w:t>
      </w:r>
      <w:proofErr w:type="spellStart"/>
      <w:r>
        <w:t>Quadrantenrahmens</w:t>
      </w:r>
      <w:proofErr w:type="spellEnd"/>
      <w:r>
        <w:t xml:space="preserve"> als </w:t>
      </w:r>
      <w:r>
        <w:rPr>
          <w:b/>
          <w:bCs/>
        </w:rPr>
        <w:t>mentales Modell</w:t>
      </w:r>
      <w:r>
        <w:t xml:space="preserve"> – Nutzer konnten die Klassifikation von Tasks intuitiv nachvollziehen. Als kritischer Punkt wurde die Schwelle für autonome KI-Freigabe in DE4 (HITL Kanban) identifiziert: Zu niedrige </w:t>
      </w:r>
      <w:proofErr w:type="spellStart"/>
      <w:r>
        <w:t>Thresholds</w:t>
      </w:r>
      <w:proofErr w:type="spellEnd"/>
      <w:r>
        <w:t xml:space="preserve"> erzeugten Vertrauensverlust, zu hohe </w:t>
      </w:r>
      <w:proofErr w:type="spellStart"/>
      <w:r>
        <w:t>Thresholds</w:t>
      </w:r>
      <w:proofErr w:type="spellEnd"/>
      <w:r>
        <w:t xml:space="preserve"> eliminierten den Automatisierungsnutzen.</w:t>
      </w:r>
    </w:p>
    <w:p w:rsidR="00D27768" w:rsidRDefault="00D27768"/>
    <w:p w:rsidR="00D27768" w:rsidRDefault="00000000">
      <w:pPr>
        <w:pStyle w:val="berschrift3"/>
      </w:pPr>
      <w:proofErr w:type="spellStart"/>
      <w:r>
        <w:rPr>
          <w:sz w:val="24"/>
          <w:szCs w:val="24"/>
        </w:rPr>
        <w:t>Projizierbarkeit</w:t>
      </w:r>
      <w:proofErr w:type="spellEnd"/>
    </w:p>
    <w:p w:rsidR="00D27768" w:rsidRDefault="00000000">
      <w:pPr>
        <w:spacing w:before="120" w:after="120" w:line="360" w:lineRule="auto"/>
        <w:jc w:val="both"/>
      </w:pPr>
      <w:r>
        <w:t xml:space="preserve">Ein zentrales Qualitätskriterium im </w:t>
      </w:r>
      <w:proofErr w:type="spellStart"/>
      <w:r>
        <w:t>eDSR</w:t>
      </w:r>
      <w:proofErr w:type="spellEnd"/>
      <w:r>
        <w:t xml:space="preserve">-Framework ist die </w:t>
      </w:r>
      <w:proofErr w:type="spellStart"/>
      <w:r>
        <w:rPr>
          <w:b/>
          <w:bCs/>
        </w:rPr>
        <w:t>Projizierbarkeit</w:t>
      </w:r>
      <w:proofErr w:type="spellEnd"/>
      <w:r>
        <w:t xml:space="preserve"> der Design </w:t>
      </w:r>
      <w:proofErr w:type="spellStart"/>
      <w:r>
        <w:t>Principles</w:t>
      </w:r>
      <w:proofErr w:type="spellEnd"/>
      <w:r>
        <w:t xml:space="preserve">: Inwiefern sind DP1–DP5 über den unmittelbaren Anwendungsfall hinaus auf andere Kontexte übertragbar? Die Analyse zeigt, dass alle fünf DPs </w:t>
      </w:r>
      <w:r>
        <w:rPr>
          <w:b/>
          <w:bCs/>
        </w:rPr>
        <w:t xml:space="preserve">prinzipiell </w:t>
      </w:r>
      <w:proofErr w:type="spellStart"/>
      <w:r>
        <w:rPr>
          <w:b/>
          <w:bCs/>
        </w:rPr>
        <w:t>projizierbar</w:t>
      </w:r>
      <w:proofErr w:type="spellEnd"/>
      <w:r>
        <w:t xml:space="preserve"> sind, sofern die folgende Bedingung erfüllt ist: Der Einsatzkontext muss eine strukturelle Asymmetrie zwischen KI-Generierungsaufwand und menschlichem Verifikationsaufwand aufweisen.</w:t>
      </w:r>
    </w:p>
    <w:p w:rsidR="00D27768" w:rsidRDefault="00000000">
      <w:pPr>
        <w:spacing w:before="120" w:after="120" w:line="360" w:lineRule="auto"/>
        <w:jc w:val="both"/>
      </w:pPr>
      <w:r>
        <w:t>Beispielhafte Projektionskontexte außerhalb des SaaS-Sales: (a) Medizinische Befundauswertung mit KI-Diagnoseunterstützung – DE2 (</w:t>
      </w:r>
      <w:proofErr w:type="spellStart"/>
      <w:r>
        <w:t>Evidence</w:t>
      </w:r>
      <w:proofErr w:type="spellEnd"/>
      <w:r>
        <w:t xml:space="preserve"> Canvas) direkt anwendbar; (b) Rechtsabteilungen mit KI-generierter Vertragsprüfung – DP3 und DP4 übertragbar; (c) Content-Redaktionen mit KI-Textentwürfen – DP2 (</w:t>
      </w:r>
      <w:proofErr w:type="spellStart"/>
      <w:r>
        <w:t>Notification</w:t>
      </w:r>
      <w:proofErr w:type="spellEnd"/>
      <w:r>
        <w:t xml:space="preserve"> Inbox) direkt anwendbar. Die Grenzen der </w:t>
      </w:r>
      <w:proofErr w:type="spellStart"/>
      <w:r>
        <w:t>Projizierbarkeit</w:t>
      </w:r>
      <w:proofErr w:type="spellEnd"/>
      <w:r>
        <w:t xml:space="preserve"> liegen in Kontexten, in denen die Verifikationsasymmetrie nicht strukturell, sondern ausschließlich durch individuelle Expertise bedingt ist – dort greifen die positionsspezifischen Interfaces nicht.</w:t>
      </w:r>
    </w:p>
    <w:p w:rsidR="00D27768" w:rsidRDefault="00D277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277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EF4C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D27768" w:rsidRDefault="00000000">
            <w:r>
              <w:rPr>
                <w:b/>
                <w:bCs/>
                <w:color w:val="2E75B6"/>
              </w:rPr>
              <w:t>Zusammenfassung: Wissenschaftlicher Beitrag</w:t>
            </w:r>
          </w:p>
          <w:p w:rsidR="00D27768" w:rsidRDefault="00000000">
            <w:pPr>
              <w:spacing w:before="60"/>
              <w:jc w:val="both"/>
            </w:pPr>
            <w:r>
              <w:t xml:space="preserve">Diese Arbeit leistet zwei Beiträge: (1) Einen theoretischen Beitrag in Form des Verifikationsquadranten als Klassifikationsrahmen (DO1 / DP1), der die Verifikationsregel nach Wei für IS-Designforschung operationalisiert. (2) Einen gestaltungsorientierten Beitrag in Form von vier prototypischen Design Elements (DE1–DE4) und vier positionsspezifischen Design </w:t>
            </w:r>
            <w:proofErr w:type="spellStart"/>
            <w:r>
              <w:t>Principles</w:t>
            </w:r>
            <w:proofErr w:type="spellEnd"/>
            <w:r>
              <w:t xml:space="preserve"> (DP2–DP5), die als </w:t>
            </w:r>
            <w:proofErr w:type="spellStart"/>
            <w:r>
              <w:t>projizierbare</w:t>
            </w:r>
            <w:proofErr w:type="spellEnd"/>
            <w:r>
              <w:t xml:space="preserve"> Richtlinien für die Gestaltung KI-gestützter Interfaces in wissensintensiven Arbeitskontexten dienen.</w:t>
            </w:r>
          </w:p>
        </w:tc>
      </w:tr>
    </w:tbl>
    <w:p w:rsidR="00D27768" w:rsidRDefault="00D27768"/>
    <w:sectPr w:rsidR="00D27768">
      <w:headerReference w:type="default" r:id="rId7"/>
      <w:footerReference w:type="default" r:id="rId8"/>
      <w:pgSz w:w="11906" w:h="16838"/>
      <w:pgMar w:top="1800" w:right="1440" w:bottom="180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3B" w:rsidRDefault="005C073B">
      <w:r>
        <w:separator/>
      </w:r>
    </w:p>
  </w:endnote>
  <w:endnote w:type="continuationSeparator" w:id="0">
    <w:p w:rsidR="005C073B" w:rsidRDefault="005C07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27768" w:rsidRDefault="00000000">
    <w:pPr>
      <w:pBdr>
        <w:top w:val="single" w:sz="4" w:space="4" w:color="2E75B6"/>
      </w:pBdr>
      <w:jc w:val="right"/>
    </w:pPr>
    <w:r>
      <w:rPr>
        <w:color w:val="4A5568"/>
        <w:sz w:val="18"/>
        <w:szCs w:val="18"/>
      </w:rPr>
      <w:t>Forschungsdesign (</w:t>
    </w:r>
    <w:proofErr w:type="spellStart"/>
    <w:r>
      <w:rPr>
        <w:color w:val="4A5568"/>
        <w:sz w:val="18"/>
        <w:szCs w:val="18"/>
      </w:rPr>
      <w:t>eDSR</w:t>
    </w:r>
    <w:proofErr w:type="spellEnd"/>
    <w:r>
      <w:rPr>
        <w:color w:val="4A5568"/>
        <w:sz w:val="18"/>
        <w:szCs w:val="18"/>
      </w:rPr>
      <w:t xml:space="preserve">)  </w:t>
    </w:r>
    <w:r>
      <w:rPr>
        <w:color w:val="4A5568"/>
        <w:sz w:val="18"/>
        <w:szCs w:val="18"/>
      </w:rPr>
      <w:fldChar w:fldCharType="begin"/>
    </w:r>
    <w:r>
      <w:rPr>
        <w:color w:val="4A5568"/>
        <w:sz w:val="18"/>
        <w:szCs w:val="18"/>
      </w:rPr>
      <w:instrText>PAGE</w:instrText>
    </w:r>
    <w:r>
      <w:rPr>
        <w:color w:val="4A5568"/>
        <w:sz w:val="18"/>
        <w:szCs w:val="18"/>
      </w:rPr>
      <w:fldChar w:fldCharType="separate"/>
    </w:r>
    <w:r w:rsidR="00B019FD">
      <w:rPr>
        <w:noProof/>
        <w:color w:val="4A5568"/>
        <w:sz w:val="18"/>
        <w:szCs w:val="18"/>
      </w:rPr>
      <w:t>1</w:t>
    </w:r>
    <w:r>
      <w:rPr>
        <w:color w:val="4A556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3B" w:rsidRDefault="005C073B">
      <w:r>
        <w:separator/>
      </w:r>
    </w:p>
  </w:footnote>
  <w:footnote w:type="continuationSeparator" w:id="0">
    <w:p w:rsidR="005C073B" w:rsidRDefault="005C07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27768" w:rsidRDefault="00000000">
    <w:pPr>
      <w:pBdr>
        <w:bottom w:val="single" w:sz="4" w:space="4" w:color="2E75B6"/>
      </w:pBdr>
    </w:pPr>
    <w:r>
      <w:rPr>
        <w:color w:val="4A5568"/>
        <w:sz w:val="18"/>
        <w:szCs w:val="18"/>
      </w:rPr>
      <w:t xml:space="preserve">Masterthesis · Johannes </w:t>
    </w:r>
    <w:proofErr w:type="gramStart"/>
    <w:r>
      <w:rPr>
        <w:color w:val="4A5568"/>
        <w:sz w:val="18"/>
        <w:szCs w:val="18"/>
      </w:rPr>
      <w:t xml:space="preserve">Hötter  </w:t>
    </w:r>
    <w:r>
      <w:rPr>
        <w:i/>
        <w:iCs/>
        <w:color w:val="2E75B6"/>
        <w:sz w:val="18"/>
        <w:szCs w:val="18"/>
      </w:rPr>
      <w:t>The</w:t>
    </w:r>
    <w:proofErr w:type="gramEnd"/>
    <w:r>
      <w:rPr>
        <w:i/>
        <w:iCs/>
        <w:color w:val="2E75B6"/>
        <w:sz w:val="18"/>
        <w:szCs w:val="18"/>
      </w:rPr>
      <w:t xml:space="preserve"> </w:t>
    </w:r>
    <w:proofErr w:type="spellStart"/>
    <w:r>
      <w:rPr>
        <w:i/>
        <w:iCs/>
        <w:color w:val="2E75B6"/>
        <w:sz w:val="18"/>
        <w:szCs w:val="18"/>
      </w:rPr>
      <w:t>Asymmetry</w:t>
    </w:r>
    <w:proofErr w:type="spellEnd"/>
    <w:r>
      <w:rPr>
        <w:i/>
        <w:iCs/>
        <w:color w:val="2E75B6"/>
        <w:sz w:val="18"/>
        <w:szCs w:val="18"/>
      </w:rPr>
      <w:t xml:space="preserve"> </w:t>
    </w:r>
    <w:proofErr w:type="spellStart"/>
    <w:r>
      <w:rPr>
        <w:i/>
        <w:iCs/>
        <w:color w:val="2E75B6"/>
        <w:sz w:val="18"/>
        <w:szCs w:val="18"/>
      </w:rPr>
      <w:t>of</w:t>
    </w:r>
    <w:proofErr w:type="spellEnd"/>
    <w:r>
      <w:rPr>
        <w:i/>
        <w:iCs/>
        <w:color w:val="2E75B6"/>
        <w:sz w:val="18"/>
        <w:szCs w:val="18"/>
      </w:rPr>
      <w:t xml:space="preserve"> </w:t>
    </w:r>
    <w:proofErr w:type="spellStart"/>
    <w:r>
      <w:rPr>
        <w:i/>
        <w:iCs/>
        <w:color w:val="2E75B6"/>
        <w:sz w:val="18"/>
        <w:szCs w:val="18"/>
      </w:rPr>
      <w:t>Verification</w:t>
    </w:r>
    <w:proofErr w:type="spellEnd"/>
    <w:r>
      <w:rPr>
        <w:i/>
        <w:iCs/>
        <w:color w:val="2E75B6"/>
        <w:sz w:val="18"/>
        <w:szCs w:val="18"/>
      </w:rPr>
      <w:t xml:space="preserve"> in Enterprise SaaS Sales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C2B69"/>
    <w:multiLevelType w:val="hybridMultilevel"/>
    <w:tmpl w:val="2D5C9106"/>
    <w:lvl w:ilvl="0" w:tplc="001ED050">
      <w:start w:val="1"/>
      <w:numFmt w:val="bullet"/>
      <w:lvlText w:val="●"/>
      <w:lvlJc w:val="left"/>
      <w:pPr>
        <w:ind w:left="720" w:hanging="360"/>
      </w:pPr>
    </w:lvl>
    <w:lvl w:ilvl="1" w:tplc="4870596E">
      <w:start w:val="1"/>
      <w:numFmt w:val="bullet"/>
      <w:lvlText w:val="○"/>
      <w:lvlJc w:val="left"/>
      <w:pPr>
        <w:ind w:left="1440" w:hanging="360"/>
      </w:pPr>
    </w:lvl>
    <w:lvl w:ilvl="2" w:tplc="55867DF4">
      <w:start w:val="1"/>
      <w:numFmt w:val="bullet"/>
      <w:lvlText w:val="■"/>
      <w:lvlJc w:val="left"/>
      <w:pPr>
        <w:ind w:left="2160" w:hanging="360"/>
      </w:pPr>
    </w:lvl>
    <w:lvl w:ilvl="3" w:tplc="7070FC8C">
      <w:start w:val="1"/>
      <w:numFmt w:val="bullet"/>
      <w:lvlText w:val="●"/>
      <w:lvlJc w:val="left"/>
      <w:pPr>
        <w:ind w:left="2880" w:hanging="360"/>
      </w:pPr>
    </w:lvl>
    <w:lvl w:ilvl="4" w:tplc="4E70ABC4">
      <w:start w:val="1"/>
      <w:numFmt w:val="bullet"/>
      <w:lvlText w:val="○"/>
      <w:lvlJc w:val="left"/>
      <w:pPr>
        <w:ind w:left="3600" w:hanging="360"/>
      </w:pPr>
    </w:lvl>
    <w:lvl w:ilvl="5" w:tplc="32B6CD9A">
      <w:start w:val="1"/>
      <w:numFmt w:val="bullet"/>
      <w:lvlText w:val="■"/>
      <w:lvlJc w:val="left"/>
      <w:pPr>
        <w:ind w:left="4320" w:hanging="360"/>
      </w:pPr>
    </w:lvl>
    <w:lvl w:ilvl="6" w:tplc="0F962F00">
      <w:start w:val="1"/>
      <w:numFmt w:val="bullet"/>
      <w:lvlText w:val="●"/>
      <w:lvlJc w:val="left"/>
      <w:pPr>
        <w:ind w:left="5040" w:hanging="360"/>
      </w:pPr>
    </w:lvl>
    <w:lvl w:ilvl="7" w:tplc="682E1952">
      <w:start w:val="1"/>
      <w:numFmt w:val="bullet"/>
      <w:lvlText w:val="●"/>
      <w:lvlJc w:val="left"/>
      <w:pPr>
        <w:ind w:left="5760" w:hanging="360"/>
      </w:pPr>
    </w:lvl>
    <w:lvl w:ilvl="8" w:tplc="CE9849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C11D56"/>
    <w:multiLevelType w:val="hybridMultilevel"/>
    <w:tmpl w:val="206630BC"/>
    <w:lvl w:ilvl="0" w:tplc="EB2ECB94">
      <w:start w:val="1"/>
      <w:numFmt w:val="bullet"/>
      <w:lvlText w:val="–"/>
      <w:lvlJc w:val="left"/>
      <w:pPr>
        <w:ind w:left="720" w:hanging="360"/>
      </w:pPr>
    </w:lvl>
    <w:lvl w:ilvl="1" w:tplc="72C0A328">
      <w:numFmt w:val="decimal"/>
      <w:lvlText w:val=""/>
      <w:lvlJc w:val="left"/>
    </w:lvl>
    <w:lvl w:ilvl="2" w:tplc="9FEC9DE4">
      <w:numFmt w:val="decimal"/>
      <w:lvlText w:val=""/>
      <w:lvlJc w:val="left"/>
    </w:lvl>
    <w:lvl w:ilvl="3" w:tplc="D7741A8C">
      <w:numFmt w:val="decimal"/>
      <w:lvlText w:val=""/>
      <w:lvlJc w:val="left"/>
    </w:lvl>
    <w:lvl w:ilvl="4" w:tplc="E124B84C">
      <w:numFmt w:val="decimal"/>
      <w:lvlText w:val=""/>
      <w:lvlJc w:val="left"/>
    </w:lvl>
    <w:lvl w:ilvl="5" w:tplc="D1E6F326">
      <w:numFmt w:val="decimal"/>
      <w:lvlText w:val=""/>
      <w:lvlJc w:val="left"/>
    </w:lvl>
    <w:lvl w:ilvl="6" w:tplc="C206FC42">
      <w:numFmt w:val="decimal"/>
      <w:lvlText w:val=""/>
      <w:lvlJc w:val="left"/>
    </w:lvl>
    <w:lvl w:ilvl="7" w:tplc="20EC5504">
      <w:numFmt w:val="decimal"/>
      <w:lvlText w:val=""/>
      <w:lvlJc w:val="left"/>
    </w:lvl>
    <w:lvl w:ilvl="8" w:tplc="F8BE355A">
      <w:numFmt w:val="decimal"/>
      <w:lvlText w:val=""/>
      <w:lvlJc w:val="left"/>
    </w:lvl>
  </w:abstractNum>
  <w:num w:numId="1" w16cid:durableId="787285708">
    <w:abstractNumId w:val="0"/>
    <w:lvlOverride w:ilvl="0">
      <w:startOverride w:val="1"/>
    </w:lvlOverride>
  </w:num>
  <w:num w:numId="2" w16cid:durableId="17586704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768"/>
    <w:rsid w:val="004E4100"/>
    <w:rsid w:val="005C073B"/>
    <w:rsid w:val="00AB056A"/>
    <w:rsid w:val="00B019FD"/>
    <w:rsid w:val="00D27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F72FA2"/>
  <w15:docId w15:val="{DD9B2E6F-A7A0-E241-A28C-BC1055FFF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D1B2A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480" w:after="240"/>
      <w:outlineLvl w:val="0"/>
    </w:pPr>
    <w:rPr>
      <w:b/>
      <w:bCs/>
      <w:sz w:val="36"/>
      <w:szCs w:val="36"/>
    </w:rPr>
  </w:style>
  <w:style w:type="paragraph" w:styleId="berschrift2">
    <w:name w:val="heading 2"/>
    <w:uiPriority w:val="9"/>
    <w:unhideWhenUsed/>
    <w:qFormat/>
    <w:pPr>
      <w:spacing w:before="360" w:after="180"/>
      <w:outlineLvl w:val="1"/>
    </w:pPr>
    <w:rPr>
      <w:b/>
      <w:bCs/>
      <w:color w:val="2E75B6"/>
      <w:sz w:val="30"/>
      <w:szCs w:val="30"/>
    </w:rPr>
  </w:style>
  <w:style w:type="paragraph" w:styleId="berschrift3">
    <w:name w:val="heading 3"/>
    <w:uiPriority w:val="9"/>
    <w:unhideWhenUsed/>
    <w:qFormat/>
    <w:pPr>
      <w:spacing w:before="240" w:after="120"/>
      <w:outlineLvl w:val="2"/>
    </w:pPr>
    <w:rPr>
      <w:b/>
      <w:bCs/>
      <w:sz w:val="26"/>
      <w:szCs w:val="26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1966</Words>
  <Characters>12393</Characters>
  <Application>Microsoft Office Word</Application>
  <DocSecurity>0</DocSecurity>
  <Lines>103</Lines>
  <Paragraphs>28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Johannes Hötter</cp:lastModifiedBy>
  <cp:revision>2</cp:revision>
  <dcterms:created xsi:type="dcterms:W3CDTF">2026-02-26T16:56:00Z</dcterms:created>
  <dcterms:modified xsi:type="dcterms:W3CDTF">2026-02-26T18:11:00Z</dcterms:modified>
</cp:coreProperties>
</file>