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8CD5" w14:textId="288B9AC2" w:rsidR="0042020F" w:rsidRPr="00AD5A26" w:rsidRDefault="00AD5A26">
      <w:pPr>
        <w:rPr>
          <w:b/>
          <w:bCs/>
        </w:rPr>
      </w:pPr>
      <w:r w:rsidRPr="00AD5A26">
        <w:rPr>
          <w:b/>
          <w:bCs/>
        </w:rPr>
        <w:t>1.- Ficha de enfermedad</w:t>
      </w:r>
    </w:p>
    <w:p w14:paraId="5A125083" w14:textId="7E70562F" w:rsidR="00AD5A26" w:rsidRPr="008B7F6E" w:rsidRDefault="00AD5A26">
      <w:pPr>
        <w:rPr>
          <w:i/>
          <w:iCs/>
        </w:rPr>
      </w:pPr>
      <w:r w:rsidRPr="00AF5D25">
        <w:rPr>
          <w:i/>
          <w:iCs/>
          <w:highlight w:val="yellow"/>
        </w:rPr>
        <w:t xml:space="preserve">○ Nombre de la </w:t>
      </w:r>
      <w:r w:rsidR="00AF4A50">
        <w:rPr>
          <w:i/>
          <w:iCs/>
          <w:highlight w:val="yellow"/>
        </w:rPr>
        <w:t>lesión</w:t>
      </w:r>
      <w:r w:rsidRPr="00AF5D25">
        <w:rPr>
          <w:i/>
          <w:iCs/>
          <w:highlight w:val="yellow"/>
        </w:rPr>
        <w:t>.</w:t>
      </w:r>
    </w:p>
    <w:p w14:paraId="7C1076B5" w14:textId="7010E52F" w:rsidR="008B7F6E" w:rsidRPr="005D2F24" w:rsidRDefault="008B7F6E">
      <w:r>
        <w:t>-L</w:t>
      </w:r>
      <w:r w:rsidRPr="00AD5A26">
        <w:t>esión medular nivel C4 de tipo</w:t>
      </w:r>
      <w:r>
        <w:t xml:space="preserve"> </w:t>
      </w:r>
      <w:r w:rsidRPr="00AD5A26">
        <w:t>incompleto</w:t>
      </w:r>
      <w:r>
        <w:t>.</w:t>
      </w:r>
      <w:r w:rsidR="00AD5A26" w:rsidRPr="008B7F6E">
        <w:rPr>
          <w:i/>
          <w:iCs/>
        </w:rPr>
        <w:br/>
      </w:r>
      <w:r w:rsidR="00AD5A26" w:rsidRPr="00A90A15">
        <w:rPr>
          <w:i/>
          <w:iCs/>
          <w:highlight w:val="yellow"/>
        </w:rPr>
        <w:t>○ Sistema afectado (neurológico, musculoesquelético, comunicación, otro).</w:t>
      </w:r>
    </w:p>
    <w:p w14:paraId="52758C2B" w14:textId="678F8750" w:rsidR="008B7F6E" w:rsidRDefault="008B7F6E">
      <w:pPr>
        <w:rPr>
          <w:i/>
          <w:iCs/>
        </w:rPr>
      </w:pPr>
      <w:r w:rsidRPr="00A90A15">
        <w:rPr>
          <w:i/>
          <w:iCs/>
        </w:rPr>
        <w:t>Sistema Nervioso</w:t>
      </w:r>
      <w:r w:rsidR="00994041">
        <w:rPr>
          <w:i/>
          <w:iCs/>
        </w:rPr>
        <w:t>.</w:t>
      </w:r>
      <w:r w:rsidR="00AD5A26" w:rsidRPr="00A90A15">
        <w:rPr>
          <w:i/>
          <w:iCs/>
          <w:highlight w:val="yellow"/>
        </w:rPr>
        <w:br/>
        <w:t>○ Breve descripción anatómica/fisiológica</w:t>
      </w:r>
    </w:p>
    <w:p w14:paraId="4890D31D" w14:textId="263380FA" w:rsidR="00AF4A50" w:rsidRPr="00365DD4" w:rsidRDefault="00365DD4">
      <w:r>
        <w:t>“</w:t>
      </w:r>
      <w:r w:rsidR="00AF4A50" w:rsidRPr="00AF4A50">
        <w:t>La lesión medular provoca la pérdida completa o incompleta de las funciones sensoriales y/o motoras por debajo del nivel de la lesión. En la paraplejia se conservan las funciones de los brazos, mientras que en la tetraplejia estas también se ven afectadas</w:t>
      </w:r>
      <w:r>
        <w:t>”</w:t>
      </w:r>
      <w:sdt>
        <w:sdtPr>
          <w:rPr>
            <w:rFonts w:ascii="Aptos" w:hAnsi="Aptos"/>
            <w:color w:val="000000"/>
          </w:rPr>
          <w:tag w:val="MENDELEY_CITATION_v3_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"/>
          <w:id w:val="83886067"/>
          <w:placeholder>
            <w:docPart w:val="DefaultPlaceholder_-1854013440"/>
          </w:placeholder>
        </w:sdtPr>
        <w:sdtContent>
          <w:r w:rsidRPr="00365DD4">
            <w:rPr>
              <w:rFonts w:ascii="Aptos" w:hAnsi="Aptos"/>
              <w:color w:val="000000"/>
            </w:rPr>
            <w:t>[1]</w:t>
          </w:r>
          <w:r>
            <w:rPr>
              <w:rFonts w:ascii="Aptos" w:hAnsi="Aptos"/>
              <w:color w:val="000000"/>
            </w:rPr>
            <w:t>.</w:t>
          </w:r>
        </w:sdtContent>
      </w:sdt>
    </w:p>
    <w:p w14:paraId="7B70A036" w14:textId="4A56ED9B" w:rsidR="00AD5A26" w:rsidRPr="00AD5A26" w:rsidRDefault="00AD5A26">
      <w:pPr>
        <w:rPr>
          <w:b/>
          <w:bCs/>
        </w:rPr>
      </w:pPr>
      <w:r w:rsidRPr="00AD5A26">
        <w:rPr>
          <w:b/>
          <w:bCs/>
        </w:rPr>
        <w:t xml:space="preserve">2.- Factores y análisis de la enfermedad </w:t>
      </w:r>
    </w:p>
    <w:p w14:paraId="7683A305" w14:textId="77777777" w:rsidR="008B7F6E" w:rsidRDefault="00AD5A26">
      <w:pPr>
        <w:rPr>
          <w:i/>
          <w:iCs/>
        </w:rPr>
      </w:pPr>
      <w:r w:rsidRPr="005D2F24">
        <w:rPr>
          <w:i/>
          <w:iCs/>
          <w:highlight w:val="yellow"/>
        </w:rPr>
        <w:t>○ Factores de riesgo principales.</w:t>
      </w:r>
    </w:p>
    <w:p w14:paraId="4CCC3ECB" w14:textId="29D69AE6" w:rsidR="008B7F6E" w:rsidRPr="00365DD4" w:rsidRDefault="00365DD4">
      <w:pPr>
        <w:rPr>
          <w:rFonts w:ascii="Aptos" w:hAnsi="Aptos"/>
          <w:color w:val="000000"/>
        </w:rPr>
      </w:pPr>
      <w:r w:rsidRPr="00365DD4">
        <w:t xml:space="preserve">Según un estudio en China, se presentaron 4 complicaciones recurrentes los cuales fueron: infecciones pulmonares, infecciones en el tracto urinario, ulceras por presión y alteraciones electrolíticas </w:t>
      </w:r>
      <w:sdt>
        <w:sdtPr>
          <w:rPr>
            <w:rFonts w:ascii="Aptos" w:hAnsi="Aptos"/>
            <w:color w:val="000000"/>
          </w:rPr>
          <w:tag w:val="MENDELEY_CITATION_v3_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"/>
          <w:id w:val="-1711950409"/>
          <w:placeholder>
            <w:docPart w:val="DefaultPlaceholder_-1854013440"/>
          </w:placeholder>
        </w:sdtPr>
        <w:sdtContent>
          <w:r w:rsidRPr="00365DD4">
            <w:rPr>
              <w:rFonts w:ascii="Aptos" w:hAnsi="Aptos"/>
              <w:color w:val="000000"/>
            </w:rPr>
            <w:t>[2]</w:t>
          </w:r>
        </w:sdtContent>
      </w:sdt>
      <w:r w:rsidRPr="00365DD4">
        <w:rPr>
          <w:rFonts w:ascii="Aptos" w:hAnsi="Aptos"/>
          <w:color w:val="000000"/>
        </w:rPr>
        <w:t>.</w:t>
      </w:r>
      <w:r w:rsidR="00AD5A26" w:rsidRPr="008B7F6E">
        <w:rPr>
          <w:i/>
          <w:iCs/>
        </w:rPr>
        <w:br/>
      </w:r>
      <w:r w:rsidR="00AD5A26" w:rsidRPr="00365DD4">
        <w:rPr>
          <w:i/>
          <w:iCs/>
          <w:highlight w:val="yellow"/>
        </w:rPr>
        <w:t>○ Manifestaciones clínicas más relevantes.</w:t>
      </w:r>
    </w:p>
    <w:p w14:paraId="19077043" w14:textId="77777777" w:rsidR="008B7F6E" w:rsidRDefault="008B7F6E" w:rsidP="008B7F6E">
      <w:r>
        <w:t>-A</w:t>
      </w:r>
      <w:r w:rsidRPr="00AD5A26">
        <w:t>usencia de voz posterior al uso de</w:t>
      </w:r>
      <w:r>
        <w:t xml:space="preserve"> </w:t>
      </w:r>
      <w:r w:rsidRPr="00AD5A26">
        <w:t>traqueotomía</w:t>
      </w:r>
    </w:p>
    <w:p w14:paraId="4D6A71A3" w14:textId="77777777" w:rsidR="008B7F6E" w:rsidRDefault="008B7F6E" w:rsidP="008B7F6E">
      <w:r>
        <w:t>-E</w:t>
      </w:r>
      <w:r w:rsidRPr="00AD5A26">
        <w:t>scaras en la zona glútea</w:t>
      </w:r>
      <w:r>
        <w:t>.</w:t>
      </w:r>
    </w:p>
    <w:p w14:paraId="0CDC024F" w14:textId="29012D84" w:rsidR="00AD5A26" w:rsidRPr="005D2F24" w:rsidRDefault="008B7F6E">
      <w:r>
        <w:t>-S</w:t>
      </w:r>
      <w:r w:rsidRPr="008B7F6E">
        <w:t>onda</w:t>
      </w:r>
      <w:r>
        <w:t xml:space="preserve"> </w:t>
      </w:r>
      <w:r w:rsidRPr="008B7F6E">
        <w:t>en vías urinarias</w:t>
      </w:r>
      <w:r>
        <w:t>.</w:t>
      </w:r>
      <w:r w:rsidR="00AD5A26" w:rsidRPr="008B7F6E">
        <w:rPr>
          <w:i/>
          <w:iCs/>
        </w:rPr>
        <w:br/>
      </w:r>
      <w:r w:rsidR="00AD5A26" w:rsidRPr="00365DD4">
        <w:rPr>
          <w:i/>
          <w:iCs/>
          <w:highlight w:val="yellow"/>
        </w:rPr>
        <w:t>○ Breve nota sobre el impacto funcional en la vida diaria.</w:t>
      </w:r>
    </w:p>
    <w:p w14:paraId="7F6E6F2B" w14:textId="6E85E380" w:rsidR="008B7F6E" w:rsidRDefault="008B7F6E">
      <w:r>
        <w:t>-L</w:t>
      </w:r>
      <w:r w:rsidRPr="008B7F6E">
        <w:t>ogra flexión/ extensión de cuello</w:t>
      </w:r>
      <w:r>
        <w:t xml:space="preserve"> </w:t>
      </w:r>
      <w:r w:rsidRPr="008B7F6E">
        <w:t>y seguimiento visual</w:t>
      </w:r>
      <w:r>
        <w:t>.</w:t>
      </w:r>
    </w:p>
    <w:p w14:paraId="35B9A64C" w14:textId="483988D1" w:rsidR="008B7F6E" w:rsidRDefault="008B7F6E">
      <w:r>
        <w:t>-Siente e</w:t>
      </w:r>
      <w:r w:rsidRPr="008B7F6E">
        <w:t>l toque o presión a nivel de hombro.</w:t>
      </w:r>
    </w:p>
    <w:p w14:paraId="2F9E92B4" w14:textId="4740D7E4" w:rsidR="008B7F6E" w:rsidRDefault="008B7F6E">
      <w:r>
        <w:t>-Ge</w:t>
      </w:r>
      <w:r w:rsidRPr="008B7F6E">
        <w:t>nera flexión de</w:t>
      </w:r>
      <w:r>
        <w:t>l</w:t>
      </w:r>
      <w:r w:rsidRPr="008B7F6E">
        <w:t xml:space="preserve"> tronco a través del balanceo de la</w:t>
      </w:r>
      <w:r>
        <w:t xml:space="preserve"> </w:t>
      </w:r>
      <w:r w:rsidRPr="008B7F6E">
        <w:t>cabeza</w:t>
      </w:r>
      <w:r>
        <w:t>.</w:t>
      </w:r>
    </w:p>
    <w:p w14:paraId="4D21D20F" w14:textId="299A956C" w:rsidR="008B7F6E" w:rsidRPr="00AD5A26" w:rsidRDefault="008B7F6E">
      <w:r>
        <w:t>-L</w:t>
      </w:r>
      <w:r w:rsidRPr="008B7F6E">
        <w:t>ogra el retorno a extensión de tronco</w:t>
      </w:r>
      <w:r>
        <w:t xml:space="preserve"> con </w:t>
      </w:r>
      <w:r w:rsidRPr="008B7F6E">
        <w:t>ayuda del terapeuta</w:t>
      </w:r>
      <w:r>
        <w:t>.</w:t>
      </w:r>
    </w:p>
    <w:p w14:paraId="31F70A1D" w14:textId="08B814B5" w:rsidR="00AD5A26" w:rsidRPr="00AD5A26" w:rsidRDefault="00AD5A26">
      <w:pPr>
        <w:rPr>
          <w:b/>
          <w:bCs/>
        </w:rPr>
      </w:pPr>
      <w:r w:rsidRPr="00AD5A26">
        <w:rPr>
          <w:b/>
          <w:bCs/>
        </w:rPr>
        <w:t xml:space="preserve">3.- Prevención, diagnóstico, tratamiento y monitoreo </w:t>
      </w:r>
    </w:p>
    <w:p w14:paraId="2E53FFF8" w14:textId="77777777" w:rsidR="00994041" w:rsidRDefault="00AD5A26">
      <w:pPr>
        <w:rPr>
          <w:i/>
          <w:iCs/>
        </w:rPr>
      </w:pPr>
      <w:r w:rsidRPr="00994041">
        <w:rPr>
          <w:i/>
          <w:iCs/>
          <w:highlight w:val="yellow"/>
        </w:rPr>
        <w:t>○ Prevención</w:t>
      </w:r>
      <w:r w:rsidR="00994041" w:rsidRPr="00994041">
        <w:rPr>
          <w:i/>
          <w:iCs/>
          <w:highlight w:val="yellow"/>
        </w:rPr>
        <w:t>.</w:t>
      </w:r>
    </w:p>
    <w:p w14:paraId="054F1424" w14:textId="4FCD98F0" w:rsidR="00994041" w:rsidRDefault="00826135">
      <w:pPr>
        <w:rPr>
          <w:i/>
          <w:iCs/>
        </w:rPr>
      </w:pPr>
      <w:r w:rsidRPr="00826135">
        <w:t>Evitar acciones que requieren esfuerzo físico.</w:t>
      </w:r>
      <w:r w:rsidR="00AD5A26" w:rsidRPr="008B7F6E">
        <w:rPr>
          <w:i/>
          <w:iCs/>
        </w:rPr>
        <w:br/>
      </w:r>
      <w:r w:rsidR="00AD5A26" w:rsidRPr="00994041">
        <w:rPr>
          <w:i/>
          <w:iCs/>
          <w:highlight w:val="yellow"/>
        </w:rPr>
        <w:t>○ Diagnóstico.</w:t>
      </w:r>
    </w:p>
    <w:p w14:paraId="647AE1BA" w14:textId="1D47A9CB" w:rsidR="00994041" w:rsidRDefault="00994041">
      <w:pPr>
        <w:rPr>
          <w:i/>
          <w:iCs/>
        </w:rPr>
      </w:pPr>
      <w:r>
        <w:t>-L</w:t>
      </w:r>
      <w:r w:rsidRPr="00AD5A26">
        <w:t>esión medular nivel C4 de tipo</w:t>
      </w:r>
      <w:r>
        <w:t xml:space="preserve"> </w:t>
      </w:r>
      <w:r w:rsidRPr="00AD5A26">
        <w:t>incompleto</w:t>
      </w:r>
      <w:r>
        <w:t xml:space="preserve">, afonía debido a traqueotomía, ulceras por presión y alteraciones de la vía urinaria. </w:t>
      </w:r>
      <w:r w:rsidR="00AD5A26" w:rsidRPr="008B7F6E">
        <w:rPr>
          <w:i/>
          <w:iCs/>
        </w:rPr>
        <w:br/>
      </w:r>
      <w:r w:rsidR="00AD5A26" w:rsidRPr="005D2F24">
        <w:rPr>
          <w:i/>
          <w:iCs/>
          <w:highlight w:val="yellow"/>
        </w:rPr>
        <w:t>○ Tratamiento (farmacológico, quirúrgico, rehabilitación, otro).</w:t>
      </w:r>
    </w:p>
    <w:p w14:paraId="1F01C5A7" w14:textId="77777777" w:rsidR="00826135" w:rsidRDefault="00826135">
      <w:r>
        <w:rPr>
          <w:i/>
          <w:iCs/>
        </w:rPr>
        <w:t>Rehabilitación</w:t>
      </w:r>
      <w:r>
        <w:t>.</w:t>
      </w:r>
    </w:p>
    <w:p w14:paraId="7DD6932D" w14:textId="2B98C672" w:rsidR="00AD5A26" w:rsidRPr="00826135" w:rsidRDefault="00AD5A26">
      <w:r w:rsidRPr="008B7F6E">
        <w:rPr>
          <w:i/>
          <w:iCs/>
        </w:rPr>
        <w:lastRenderedPageBreak/>
        <w:br/>
      </w:r>
      <w:r w:rsidRPr="00994041">
        <w:rPr>
          <w:i/>
          <w:iCs/>
          <w:highlight w:val="yellow"/>
        </w:rPr>
        <w:t>○ Monitoreo (ej. seguimiento clínico, pruebas periódicas, otro).</w:t>
      </w:r>
    </w:p>
    <w:p w14:paraId="5F508EA0" w14:textId="39E2925F" w:rsidR="00994041" w:rsidRPr="00826135" w:rsidRDefault="00826135">
      <w:r w:rsidRPr="00826135">
        <w:t>Seguimiento clínico.</w:t>
      </w:r>
    </w:p>
    <w:p w14:paraId="35F3B81C" w14:textId="6C2E4531" w:rsidR="00AD5A26" w:rsidRPr="00AD5A26" w:rsidRDefault="00AD5A26">
      <w:pPr>
        <w:rPr>
          <w:b/>
          <w:bCs/>
        </w:rPr>
      </w:pPr>
      <w:r w:rsidRPr="00AD5A26">
        <w:rPr>
          <w:b/>
          <w:bCs/>
        </w:rPr>
        <w:t>4.- Reflexión ingenieril</w:t>
      </w:r>
    </w:p>
    <w:p w14:paraId="76E8D242" w14:textId="77777777" w:rsidR="00826135" w:rsidRDefault="00AD5A26">
      <w:pPr>
        <w:rPr>
          <w:i/>
          <w:iCs/>
        </w:rPr>
      </w:pPr>
      <w:r w:rsidRPr="00826135">
        <w:rPr>
          <w:i/>
          <w:iCs/>
          <w:highlight w:val="yellow"/>
        </w:rPr>
        <w:t>○ Identificar un problema concreto donde un dispositivo o tecnología biomédica pueda aportar</w:t>
      </w:r>
    </w:p>
    <w:p w14:paraId="1D4971A8" w14:textId="1D71049C" w:rsidR="00AD5A26" w:rsidRPr="00826135" w:rsidRDefault="00826135">
      <w:r w:rsidRPr="00826135">
        <w:t>Movilidad en la zona del tronco.</w:t>
      </w:r>
      <w:r w:rsidR="00AD5A26" w:rsidRPr="008B7F6E">
        <w:rPr>
          <w:i/>
          <w:iCs/>
        </w:rPr>
        <w:br/>
        <w:t>(ejemplo: monitorización, movilidad, comunicación).</w:t>
      </w:r>
      <w:r w:rsidR="00AD5A26" w:rsidRPr="008B7F6E">
        <w:rPr>
          <w:i/>
          <w:iCs/>
        </w:rPr>
        <w:br/>
        <w:t>No dar la solución, solo señalar la necesidad.</w:t>
      </w:r>
    </w:p>
    <w:p w14:paraId="21723546" w14:textId="77777777" w:rsidR="00AD5A26" w:rsidRDefault="00AD5A26"/>
    <w:p w14:paraId="771C246D" w14:textId="77777777" w:rsidR="00AD5A26" w:rsidRDefault="00AD5A26"/>
    <w:p w14:paraId="17FB8402" w14:textId="77777777" w:rsidR="005D2F24" w:rsidRDefault="005D2F24"/>
    <w:p w14:paraId="771695A1" w14:textId="77777777" w:rsidR="005D2F24" w:rsidRDefault="005D2F24"/>
    <w:p w14:paraId="4E2382E2" w14:textId="77777777" w:rsidR="005D2F24" w:rsidRDefault="005D2F24"/>
    <w:p w14:paraId="79E39412" w14:textId="77777777" w:rsidR="005D2F24" w:rsidRDefault="005D2F24"/>
    <w:p w14:paraId="6980FA14" w14:textId="77777777" w:rsidR="005D2F24" w:rsidRDefault="005D2F24"/>
    <w:p w14:paraId="63C16439" w14:textId="77777777" w:rsidR="005D2F24" w:rsidRDefault="005D2F24"/>
    <w:p w14:paraId="3891553D" w14:textId="77777777" w:rsidR="005D2F24" w:rsidRDefault="005D2F24"/>
    <w:p w14:paraId="57ABE862" w14:textId="77777777" w:rsidR="005D2F24" w:rsidRDefault="005D2F24"/>
    <w:p w14:paraId="673659DC" w14:textId="77777777" w:rsidR="005D2F24" w:rsidRDefault="005D2F24"/>
    <w:p w14:paraId="5D771BFC" w14:textId="77777777" w:rsidR="005D2F24" w:rsidRDefault="005D2F24"/>
    <w:p w14:paraId="7A5BF44D" w14:textId="77777777" w:rsidR="005D2F24" w:rsidRDefault="005D2F24"/>
    <w:p w14:paraId="16ED5BD3" w14:textId="77777777" w:rsidR="005D2F24" w:rsidRDefault="005D2F24"/>
    <w:p w14:paraId="3122124E" w14:textId="77777777" w:rsidR="005D2F24" w:rsidRDefault="005D2F24"/>
    <w:p w14:paraId="40E2AFC1" w14:textId="77777777" w:rsidR="005D2F24" w:rsidRDefault="005D2F24"/>
    <w:p w14:paraId="0797362D" w14:textId="77777777" w:rsidR="005D2F24" w:rsidRDefault="005D2F24"/>
    <w:p w14:paraId="38B64B03" w14:textId="77777777" w:rsidR="005D2F24" w:rsidRDefault="005D2F24"/>
    <w:p w14:paraId="789C48D7" w14:textId="77777777" w:rsidR="005D2F24" w:rsidRDefault="005D2F24"/>
    <w:p w14:paraId="791AB1D4" w14:textId="77777777" w:rsidR="005D2F24" w:rsidRDefault="005D2F24"/>
    <w:p w14:paraId="769AFE4C" w14:textId="77777777" w:rsidR="005D2F24" w:rsidRDefault="005D2F24"/>
    <w:p w14:paraId="1D622B62" w14:textId="77777777" w:rsidR="005D2F24" w:rsidRDefault="005D2F24"/>
    <w:p w14:paraId="27DA902B" w14:textId="77777777" w:rsidR="005D2F24" w:rsidRDefault="005D2F24"/>
    <w:p w14:paraId="63C0BFF6" w14:textId="77777777" w:rsidR="005D2F24" w:rsidRDefault="005D2F24"/>
    <w:p w14:paraId="0147AB28" w14:textId="77777777" w:rsidR="005D2F24" w:rsidRDefault="005D2F24"/>
    <w:p w14:paraId="38773800" w14:textId="77777777" w:rsidR="005D2F24" w:rsidRDefault="005D2F24"/>
    <w:p w14:paraId="7A00AB44" w14:textId="77777777" w:rsidR="005D2F24" w:rsidRDefault="005D2F24"/>
    <w:p w14:paraId="3E370EFF" w14:textId="77777777" w:rsidR="005D2F24" w:rsidRDefault="005D2F24"/>
    <w:p w14:paraId="009C1382" w14:textId="77777777" w:rsidR="005D2F24" w:rsidRDefault="005D2F24"/>
    <w:p w14:paraId="1BA669F1" w14:textId="77777777" w:rsidR="005D2F24" w:rsidRDefault="005D2F24"/>
    <w:p w14:paraId="55E8F354" w14:textId="77777777" w:rsidR="005D2F24" w:rsidRDefault="005D2F24"/>
    <w:p w14:paraId="5E435A7C" w14:textId="57262ABC" w:rsidR="005D2F24" w:rsidRDefault="005D2F24">
      <w:r>
        <w:t>Fuentes:</w:t>
      </w:r>
    </w:p>
    <w:p w14:paraId="00A80EF3" w14:textId="13F02469" w:rsidR="005D2F24" w:rsidRDefault="005D2F24">
      <w:r>
        <w:t>Factores de riesgo:</w:t>
      </w:r>
    </w:p>
    <w:p w14:paraId="7ACE3F89" w14:textId="419BADBD" w:rsidR="005D2F24" w:rsidRDefault="005D2F24">
      <w:hyperlink r:id="rId5" w:history="1">
        <w:r w:rsidRPr="00EF0F5F">
          <w:rPr>
            <w:rStyle w:val="Hipervnculo"/>
          </w:rPr>
          <w:t>https://journals.plos.</w:t>
        </w:r>
        <w:r w:rsidRPr="00EF0F5F">
          <w:rPr>
            <w:rStyle w:val="Hipervnculo"/>
          </w:rPr>
          <w:t>o</w:t>
        </w:r>
        <w:r w:rsidRPr="00EF0F5F">
          <w:rPr>
            <w:rStyle w:val="Hipervnculo"/>
          </w:rPr>
          <w:t>rg/plosone</w:t>
        </w:r>
        <w:r w:rsidRPr="00EF0F5F">
          <w:rPr>
            <w:rStyle w:val="Hipervnculo"/>
          </w:rPr>
          <w:t>/</w:t>
        </w:r>
        <w:r w:rsidRPr="00EF0F5F">
          <w:rPr>
            <w:rStyle w:val="Hipervnculo"/>
          </w:rPr>
          <w:t>article?id=10.1371/journal.pone.0084733</w:t>
        </w:r>
      </w:hyperlink>
    </w:p>
    <w:p w14:paraId="6B9FEFE7" w14:textId="2D72CED7" w:rsidR="005D2F24" w:rsidRDefault="00365DD4">
      <w:r>
        <w:t xml:space="preserve">Según un estudio realizado en China </w:t>
      </w:r>
    </w:p>
    <w:p w14:paraId="7A4DE14D" w14:textId="0918FADC" w:rsidR="005D2F24" w:rsidRDefault="005D2F24">
      <w:r>
        <w:t>Tratamiento:</w:t>
      </w:r>
    </w:p>
    <w:p w14:paraId="33B0B26E" w14:textId="1E0AD645" w:rsidR="005D2F24" w:rsidRDefault="005D2F24">
      <w:hyperlink r:id="rId6" w:history="1">
        <w:r w:rsidRPr="00EF0F5F">
          <w:rPr>
            <w:rStyle w:val="Hipervnculo"/>
          </w:rPr>
          <w:t>https://journals.plos.org/p</w:t>
        </w:r>
        <w:r w:rsidRPr="00EF0F5F">
          <w:rPr>
            <w:rStyle w:val="Hipervnculo"/>
          </w:rPr>
          <w:t>l</w:t>
        </w:r>
        <w:r w:rsidRPr="00EF0F5F">
          <w:rPr>
            <w:rStyle w:val="Hipervnculo"/>
          </w:rPr>
          <w:t>osone/article?id=10.1371/journal.pone.0084733</w:t>
        </w:r>
      </w:hyperlink>
    </w:p>
    <w:p w14:paraId="5E297961" w14:textId="594E5CA7" w:rsidR="005D2F24" w:rsidRDefault="005D2F24">
      <w:r w:rsidRPr="005D2F24">
        <w:t xml:space="preserve">Depending on the severity of the injury, it was expected that there would be different treatment options for the SCI patients. In this study, the proportions of patients accepting surgery, rehabilitation therapy, traction, and hyperbaric oxygen therapy were 55.4%, 21.7%, 12.8% and 7.2%, respectively. Among the 678 complete SCI patients, there were 407 patients who received a surgical intervention, 187 patients adopting rehabilitation therapy, 154 patients accepting traction, and 61 patients treated with hyperbaric oxygen therapy. The differences in the number of patients accepting surgery, rehabilitation therapy, and traction between the patients with and without complete injury were statistically significant (P,0.05). However, the difference between the two groups in relation to hyperbaric oxygen therapy was not significant (P.0.05) (Table 10). The prognosis of the SCI patients was categorized as cured, improved, non-cured, and unknown in this study, and the proportions were 41.4%, 51.7%, 3.8%, and 3.1%, respectively. Among the patients who received a surgical intervention, 41.9% were cured and 52.5% improved. The proportion of cured patients was 34.5% among those accepting rehabilitation therapy, 43.6% among those accepting traction therapy, </w:t>
      </w:r>
      <w:r w:rsidRPr="005D2F24">
        <w:lastRenderedPageBreak/>
        <w:t>and 22.9% among those adopting hyperbaric oxygen therapy. There were significant differences between the distributions of patients accepting surgery or not, adopting rehabilitation therapy or not, and accepting traction or not by prognosis (P,0.05), but there was not a statistically significant difference in prognosis between the group that accepted hyperbaric oxygen therapy and those who did not (P.0.05) (Table 11).</w:t>
      </w:r>
    </w:p>
    <w:p w14:paraId="7DD66A14" w14:textId="77777777" w:rsidR="005D2F24" w:rsidRDefault="005D2F24"/>
    <w:p w14:paraId="7D782060" w14:textId="77777777" w:rsidR="005D2F24" w:rsidRDefault="005D2F24"/>
    <w:p w14:paraId="19B3F06C" w14:textId="77777777" w:rsidR="005D2F24" w:rsidRDefault="005D2F24"/>
    <w:p w14:paraId="2398753C" w14:textId="25FE6FA1" w:rsidR="005D2F24" w:rsidRDefault="005D2F24">
      <w:r>
        <w:t>Descripción anatómica:</w:t>
      </w:r>
    </w:p>
    <w:p w14:paraId="47280123" w14:textId="63B8E280" w:rsidR="005D2F24" w:rsidRDefault="005D2F24">
      <w:hyperlink r:id="rId7" w:history="1">
        <w:r w:rsidRPr="00EF0F5F">
          <w:rPr>
            <w:rStyle w:val="Hipervnculo"/>
          </w:rPr>
          <w:t>https://journals.plos.or</w:t>
        </w:r>
        <w:r w:rsidRPr="00EF0F5F">
          <w:rPr>
            <w:rStyle w:val="Hipervnculo"/>
          </w:rPr>
          <w:t>g</w:t>
        </w:r>
        <w:r w:rsidRPr="00EF0F5F">
          <w:rPr>
            <w:rStyle w:val="Hipervnculo"/>
          </w:rPr>
          <w:t>/plosone/article</w:t>
        </w:r>
        <w:r w:rsidRPr="00EF0F5F">
          <w:rPr>
            <w:rStyle w:val="Hipervnculo"/>
          </w:rPr>
          <w:t>?</w:t>
        </w:r>
        <w:r w:rsidRPr="00EF0F5F">
          <w:rPr>
            <w:rStyle w:val="Hipervnculo"/>
          </w:rPr>
          <w:t>id=10.1371/journal.pone.0084733</w:t>
        </w:r>
      </w:hyperlink>
    </w:p>
    <w:p w14:paraId="1A5B8B0C" w14:textId="27261FC1" w:rsidR="00AF5D25" w:rsidRDefault="005D2F24">
      <w:r w:rsidRPr="005D2F24">
        <w:t>A spinal fracture may affect the stability of the spinal mechanics, so patients with spinal fractures are more prone to complications involving the spinal cord or the end of the cauda equine nerve. Thus, the patients with thoracic spinal fractures were more prone to complete injuri</w:t>
      </w:r>
    </w:p>
    <w:p w14:paraId="11CA54ED" w14:textId="45D1661C" w:rsidR="00AF5D25" w:rsidRDefault="00AF5D25">
      <w:r>
        <w:t>Nombre de la enfermedad:</w:t>
      </w:r>
    </w:p>
    <w:p w14:paraId="17A94D68" w14:textId="2CB391BA" w:rsidR="00A90A15" w:rsidRDefault="00AF5D25">
      <w:hyperlink r:id="rId8" w:history="1">
        <w:r w:rsidRPr="00EF0F5F">
          <w:rPr>
            <w:rStyle w:val="Hipervnculo"/>
          </w:rPr>
          <w:t>https://www.who.int/news-roo</w:t>
        </w:r>
        <w:r w:rsidRPr="00EF0F5F">
          <w:rPr>
            <w:rStyle w:val="Hipervnculo"/>
          </w:rPr>
          <w:t>m</w:t>
        </w:r>
        <w:r w:rsidRPr="00EF0F5F">
          <w:rPr>
            <w:rStyle w:val="Hipervnculo"/>
          </w:rPr>
          <w:t>/fact-sheets/detail/spinal-cord-i</w:t>
        </w:r>
        <w:r w:rsidRPr="00EF0F5F">
          <w:rPr>
            <w:rStyle w:val="Hipervnculo"/>
          </w:rPr>
          <w:t>n</w:t>
        </w:r>
        <w:r w:rsidRPr="00EF0F5F">
          <w:rPr>
            <w:rStyle w:val="Hipervnculo"/>
          </w:rPr>
          <w:t>jury</w:t>
        </w:r>
      </w:hyperlink>
    </w:p>
    <w:p w14:paraId="66777367" w14:textId="7B6C8CF4" w:rsidR="00AF5D25" w:rsidRDefault="00CF2C42" w:rsidP="00CF2C42">
      <w:r>
        <w:t xml:space="preserve">  </w:t>
      </w:r>
    </w:p>
    <w:sectPr w:rsidR="00AF5D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DF"/>
    <w:rsid w:val="000A1274"/>
    <w:rsid w:val="00185ADF"/>
    <w:rsid w:val="0027481C"/>
    <w:rsid w:val="00365DD4"/>
    <w:rsid w:val="0042020F"/>
    <w:rsid w:val="004D697D"/>
    <w:rsid w:val="005D2F24"/>
    <w:rsid w:val="00676601"/>
    <w:rsid w:val="00826135"/>
    <w:rsid w:val="008B7F6E"/>
    <w:rsid w:val="00994041"/>
    <w:rsid w:val="00A90A15"/>
    <w:rsid w:val="00AD190D"/>
    <w:rsid w:val="00AD5A26"/>
    <w:rsid w:val="00AF4A50"/>
    <w:rsid w:val="00AF5D25"/>
    <w:rsid w:val="00C86F6A"/>
    <w:rsid w:val="00CF2C42"/>
    <w:rsid w:val="00DF6B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B44F"/>
  <w15:chartTrackingRefBased/>
  <w15:docId w15:val="{693488CD-0536-4D0B-932F-C1D81F03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5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5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5A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5A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5A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5A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5A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5A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5A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5A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5A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5A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5A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5A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5A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5A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5A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5ADF"/>
    <w:rPr>
      <w:rFonts w:eastAsiaTheme="majorEastAsia" w:cstheme="majorBidi"/>
      <w:color w:val="272727" w:themeColor="text1" w:themeTint="D8"/>
    </w:rPr>
  </w:style>
  <w:style w:type="paragraph" w:styleId="Ttulo">
    <w:name w:val="Title"/>
    <w:basedOn w:val="Normal"/>
    <w:next w:val="Normal"/>
    <w:link w:val="TtuloCar"/>
    <w:uiPriority w:val="10"/>
    <w:qFormat/>
    <w:rsid w:val="0018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5A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5A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5A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5ADF"/>
    <w:pPr>
      <w:spacing w:before="160"/>
      <w:jc w:val="center"/>
    </w:pPr>
    <w:rPr>
      <w:i/>
      <w:iCs/>
      <w:color w:val="404040" w:themeColor="text1" w:themeTint="BF"/>
    </w:rPr>
  </w:style>
  <w:style w:type="character" w:customStyle="1" w:styleId="CitaCar">
    <w:name w:val="Cita Car"/>
    <w:basedOn w:val="Fuentedeprrafopredeter"/>
    <w:link w:val="Cita"/>
    <w:uiPriority w:val="29"/>
    <w:rsid w:val="00185ADF"/>
    <w:rPr>
      <w:i/>
      <w:iCs/>
      <w:color w:val="404040" w:themeColor="text1" w:themeTint="BF"/>
    </w:rPr>
  </w:style>
  <w:style w:type="paragraph" w:styleId="Prrafodelista">
    <w:name w:val="List Paragraph"/>
    <w:basedOn w:val="Normal"/>
    <w:uiPriority w:val="34"/>
    <w:qFormat/>
    <w:rsid w:val="00185ADF"/>
    <w:pPr>
      <w:ind w:left="720"/>
      <w:contextualSpacing/>
    </w:pPr>
  </w:style>
  <w:style w:type="character" w:styleId="nfasisintenso">
    <w:name w:val="Intense Emphasis"/>
    <w:basedOn w:val="Fuentedeprrafopredeter"/>
    <w:uiPriority w:val="21"/>
    <w:qFormat/>
    <w:rsid w:val="00185ADF"/>
    <w:rPr>
      <w:i/>
      <w:iCs/>
      <w:color w:val="0F4761" w:themeColor="accent1" w:themeShade="BF"/>
    </w:rPr>
  </w:style>
  <w:style w:type="paragraph" w:styleId="Citadestacada">
    <w:name w:val="Intense Quote"/>
    <w:basedOn w:val="Normal"/>
    <w:next w:val="Normal"/>
    <w:link w:val="CitadestacadaCar"/>
    <w:uiPriority w:val="30"/>
    <w:qFormat/>
    <w:rsid w:val="00185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5ADF"/>
    <w:rPr>
      <w:i/>
      <w:iCs/>
      <w:color w:val="0F4761" w:themeColor="accent1" w:themeShade="BF"/>
    </w:rPr>
  </w:style>
  <w:style w:type="character" w:styleId="Referenciaintensa">
    <w:name w:val="Intense Reference"/>
    <w:basedOn w:val="Fuentedeprrafopredeter"/>
    <w:uiPriority w:val="32"/>
    <w:qFormat/>
    <w:rsid w:val="00185ADF"/>
    <w:rPr>
      <w:b/>
      <w:bCs/>
      <w:smallCaps/>
      <w:color w:val="0F4761" w:themeColor="accent1" w:themeShade="BF"/>
      <w:spacing w:val="5"/>
    </w:rPr>
  </w:style>
  <w:style w:type="character" w:styleId="Hipervnculo">
    <w:name w:val="Hyperlink"/>
    <w:basedOn w:val="Fuentedeprrafopredeter"/>
    <w:uiPriority w:val="99"/>
    <w:unhideWhenUsed/>
    <w:rsid w:val="005D2F24"/>
    <w:rPr>
      <w:color w:val="467886" w:themeColor="hyperlink"/>
      <w:u w:val="single"/>
    </w:rPr>
  </w:style>
  <w:style w:type="character" w:styleId="Mencinsinresolver">
    <w:name w:val="Unresolved Mention"/>
    <w:basedOn w:val="Fuentedeprrafopredeter"/>
    <w:uiPriority w:val="99"/>
    <w:semiHidden/>
    <w:unhideWhenUsed/>
    <w:rsid w:val="005D2F24"/>
    <w:rPr>
      <w:color w:val="605E5C"/>
      <w:shd w:val="clear" w:color="auto" w:fill="E1DFDD"/>
    </w:rPr>
  </w:style>
  <w:style w:type="character" w:styleId="Hipervnculovisitado">
    <w:name w:val="FollowedHyperlink"/>
    <w:basedOn w:val="Fuentedeprrafopredeter"/>
    <w:uiPriority w:val="99"/>
    <w:semiHidden/>
    <w:unhideWhenUsed/>
    <w:rsid w:val="00AF5D25"/>
    <w:rPr>
      <w:color w:val="96607D" w:themeColor="followedHyperlink"/>
      <w:u w:val="single"/>
    </w:rPr>
  </w:style>
  <w:style w:type="character" w:styleId="Textodelmarcadordeposicin">
    <w:name w:val="Placeholder Text"/>
    <w:basedOn w:val="Fuentedeprrafopredeter"/>
    <w:uiPriority w:val="99"/>
    <w:semiHidden/>
    <w:rsid w:val="00CF2C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13140">
      <w:marLeft w:val="640"/>
      <w:marRight w:val="0"/>
      <w:marTop w:val="0"/>
      <w:marBottom w:val="0"/>
      <w:divBdr>
        <w:top w:val="none" w:sz="0" w:space="0" w:color="auto"/>
        <w:left w:val="none" w:sz="0" w:space="0" w:color="auto"/>
        <w:bottom w:val="none" w:sz="0" w:space="0" w:color="auto"/>
        <w:right w:val="none" w:sz="0" w:space="0" w:color="auto"/>
      </w:divBdr>
    </w:div>
    <w:div w:id="1259292077">
      <w:marLeft w:val="640"/>
      <w:marRight w:val="0"/>
      <w:marTop w:val="0"/>
      <w:marBottom w:val="0"/>
      <w:divBdr>
        <w:top w:val="none" w:sz="0" w:space="0" w:color="auto"/>
        <w:left w:val="none" w:sz="0" w:space="0" w:color="auto"/>
        <w:bottom w:val="none" w:sz="0" w:space="0" w:color="auto"/>
        <w:right w:val="none" w:sz="0" w:space="0" w:color="auto"/>
      </w:divBdr>
    </w:div>
    <w:div w:id="172132262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spinal-cord-injury" TargetMode="External"/><Relationship Id="rId3" Type="http://schemas.openxmlformats.org/officeDocument/2006/relationships/settings" Target="settings.xml"/><Relationship Id="rId7" Type="http://schemas.openxmlformats.org/officeDocument/2006/relationships/hyperlink" Target="https://journals.plos.org/plosone/article?id=10.1371/journal.pone.008473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journals.plos.org/plosone/article?id=10.1371/journal.pone.0084733" TargetMode="External"/><Relationship Id="rId11" Type="http://schemas.openxmlformats.org/officeDocument/2006/relationships/theme" Target="theme/theme1.xml"/><Relationship Id="rId5" Type="http://schemas.openxmlformats.org/officeDocument/2006/relationships/hyperlink" Target="https://journals.plos.org/plosone/article?id=10.1371/journal.pone.0084733" TargetMode="Externa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6C3ADCA-B3AE-4EDD-84E1-D75D3E800E33}"/>
      </w:docPartPr>
      <w:docPartBody>
        <w:p w:rsidR="00000000" w:rsidRDefault="00F30FAA">
          <w:r w:rsidRPr="00A0787D">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AA"/>
    <w:rsid w:val="000A1274"/>
    <w:rsid w:val="00900FE4"/>
    <w:rsid w:val="00F30F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0FA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54F01E-0EA3-4CF1-BA04-28DCF9DD9A27}">
  <we:reference id="wa104382081" version="1.55.1.0" store="es-HN" storeType="OMEX"/>
  <we:alternateReferences>
    <we:reference id="WA104382081" version="1.55.1.0" store="WA104382081" storeType="OMEX"/>
  </we:alternateReferences>
  <we:properties>
    <we:property name="MENDELEY_BIBLIOGRAPHY_IS_DIRTY" value="false"/>
    <we:property name="MENDELEY_BIBLIOGRAPHY_LAST_MODIFIED" value="1774809247994"/>
    <we:property name="MENDELEY_CITATIONS" value="[{&quot;citationID&quot;:&quot;MENDELEY_CITATION_fa3fa71c-8b5b-4725-bc7b-0d08ff075368&quot;,&quot;properties&quot;:{&quot;noteIndex&quot;:0},&quot;isEdited&quot;:false,&quot;manualOverride&quot;:{&quot;isManuallyOverridden&quot;:false,&quot;citeprocText&quot;:&quot;[1]&quot;,&quot;manualOverrideText&quot;:&quot;&quot;},&quot;citationTag&quot;:&quot;MENDELEY_CITATION_v3_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&quot;,&quot;citationItems&quot;:[{&quot;id&quot;:&quot;4939c4e5-ff71-30a4-b6c3-0d5a9d3a6a19&quot;,&quot;itemData&quot;:{&quot;type&quot;:&quot;webpage&quot;,&quot;id&quot;:&quot;4939c4e5-ff71-30a4-b6c3-0d5a9d3a6a19&quot;,&quot;title&quot;:&quot;Spinal cord injury&quot;,&quot;author&quot;:[{&quot;family&quot;:&quot;World Health Organization&quot;,&quot;given&quot;:&quot;&quot;,&quot;parse-names&quot;:false,&quot;dropping-particle&quot;:&quot;&quot;,&quot;non-dropping-particle&quot;:&quot;&quot;}],&quot;issued&quot;:{&quot;date-parts&quot;:[[2024,4,16]]},&quot;container-title-short&quot;:&quot;&quot;},&quot;isTemporary&quot;:false}]},{&quot;citationID&quot;:&quot;MENDELEY_CITATION_98d45563-ae5b-42e3-9759-e2ad1206c520&quot;,&quot;properties&quot;:{&quot;noteIndex&quot;:0},&quot;isEdited&quot;:false,&quot;manualOverride&quot;:{&quot;isManuallyOverridden&quot;:false,&quot;citeprocText&quot;:&quot;[2]&quot;,&quot;manualOverrideText&quot;:&quot;&quot;},&quot;citationTag&quot;:&quot;MENDELEY_CITATION_v3_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&quot;,&quot;citationItems&quot;:[{&quot;id&quot;:&quot;0d2a4c48-c2d8-3049-8e34-7cc02b6b6492&quot;,&quot;itemData&quot;:{&quot;type&quot;:&quot;article-journal&quot;,&quot;id&quot;:&quot;0d2a4c48-c2d8-3049-8e34-7cc02b6b6492&quot;,&quot;title&quot;:&quot;Epidemiology of Spinal Cord Injuries and Risk Factors for Complete Injuries in Guangdong, China: A Retrospective Study&quot;,&quot;author&quot;:[{&quot;family&quot;:&quot;Yang&quot;,&quot;given&quot;:&quot;Rui&quot;,&quot;parse-names&quot;:false,&quot;dropping-particle&quot;:&quot;&quot;,&quot;non-dropping-particle&quot;:&quot;&quot;},{&quot;family&quot;:&quot;Guo&quot;,&quot;given&quot;:&quot;Lan&quot;,&quot;parse-names&quot;:false,&quot;dropping-particle&quot;:&quot;&quot;,&quot;non-dropping-particle&quot;:&quot;&quot;},{&quot;family&quot;:&quot;Wang&quot;,&quot;given&quot;:&quot;Peng&quot;,&quot;parse-names&quot;:false,&quot;dropping-particle&quot;:&quot;&quot;,&quot;non-dropping-particle&quot;:&quot;&quot;},{&quot;family&quot;:&quot;Huang&quot;,&quot;given&quot;:&quot;Lin&quot;,&quot;parse-names&quot;:false,&quot;dropping-particle&quot;:&quot;&quot;,&quot;non-dropping-particle&quot;:&quot;&quot;},{&quot;family&quot;:&quot;Tang&quot;,&quot;given&quot;:&quot;Yong&quot;,&quot;parse-names&quot;:false,&quot;dropping-particle&quot;:&quot;&quot;,&quot;non-dropping-particle&quot;:&quot;&quot;},{&quot;family&quot;:&quot;Wang&quot;,&quot;given&quot;:&quot;Wenhao&quot;,&quot;parse-names&quot;:false,&quot;dropping-particle&quot;:&quot;&quot;,&quot;non-dropping-particle&quot;:&quot;&quot;},{&quot;family&quot;:&quot;Chen&quot;,&quot;given&quot;:&quot;Keng&quot;,&quot;parse-names&quot;:false,&quot;dropping-particle&quot;:&quot;&quot;,&quot;non-dropping-particle&quot;:&quot;&quot;},{&quot;family&quot;:&quot;Ye&quot;,&quot;given&quot;:&quot;Jichao&quot;,&quot;parse-names&quot;:false,&quot;dropping-particle&quot;:&quot;&quot;,&quot;non-dropping-particle&quot;:&quot;&quot;},{&quot;family&quot;:&quot;Lu&quot;,&quot;given&quot;:&quot;Ciyong&quot;,&quot;parse-names&quot;:false,&quot;dropping-particle&quot;:&quot;&quot;,&quot;non-dropping-particle&quot;:&quot;&quot;},{&quot;family&quot;:&quot;Wu&quot;,&quot;given&quot;:&quot;Yanfeng&quot;,&quot;parse-names&quot;:false,&quot;dropping-particle&quot;:&quot;&quot;,&quot;non-dropping-particle&quot;:&quot;&quot;},{&quot;family&quot;:&quot;Shen&quot;,&quot;given&quot;:&quot;Huiyong&quot;,&quot;parse-names&quot;:false,&quot;dropping-particle&quot;:&quot;&quot;,&quot;non-dropping-particle&quot;:&quot;&quot;}],&quot;container-title&quot;:&quot;PLOS ONE&quot;,&quot;container-title-short&quot;:&quot;PLoS One&quot;,&quot;URL&quot;:&quot;https://doi.org/10.1371/journal.pone.0084733&quot;,&quot;issued&quot;:{&quot;date-parts&quot;:[[2014,1,28]]},&quot;page&quot;:&quot;e84733-&quot;,&quot;abstract&quot;:&quot;Background Spinal cord injuries are highly disabling and deadly injuries. Currently, few studies focus on non-traumatic spinal cord injuries, and there is little information regarding the risk factors for complete injuries. This study aims to describe the demographics and the injury characteristics for both traumatic and non-traumatic spinal cord injuries and to explore the risk factors for complete spinal cord injuries.  Methods A retrospective study was performed by reviewing the medical records of 3,832 patients with spinal cord injuries who were first admitted to the sampled hospitals in Guangdong, China. The demographics and injury characteristics of the patients were described and compared between the different groups using the chi-square test. Logistic regression was conducted to analyze the risk factors for complete spinal cord injuries.  Results The proportion of patients increased from 7.0% to 14.0% from 2003 to 2011. The male-to-female ratio was 3.0∶1. The major cause of spinal cord injuries was traffic accidents (21.7%). Many of the injured were workers (36.2%), peasants (22.8%), and unemployed people (13.9%); these occupations accounted for 72.9% of the total sample. A multivariate logistic regression model revealed that the OR (95% CI) for male gender compared to female gender was 1.25 (1.07–1.89), the OR (95%CI) for having a spinal fracture was 1.56 (1.35–2.60), the OR (95%CI) for having a thoracic injury was 1.23 (1.10–2.00), and the OR (95%CI) for having complications was 2.47 (1.96–3.13).  Conclusion The proportion of males was higher than the proportion of females. Workers, peasants and the unemployed comprised the high-risk occupational categories. Male gender, having a spinal fracture, having a thoracic injury, and having complications were the major risk factors for a complete injury. We recommend that preventive measures should focus on high-risk populations, such as young males.&quot;,&quot;publisher&quot;:&quot;Public Library of Science&quot;,&quot;issue&quot;:&quot;1&quot;,&quot;volume&quot;:&quot;9&quot;},&quot;isTemporary&quot;:false}]}]"/>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38979-F977-44F8-A4E4-6579BA25C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717</Words>
  <Characters>3944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Jogor .</dc:creator>
  <cp:keywords/>
  <dc:description/>
  <cp:lastModifiedBy>Jogor .</cp:lastModifiedBy>
  <cp:revision>6</cp:revision>
  <dcterms:created xsi:type="dcterms:W3CDTF">2026-03-28T19:27:00Z</dcterms:created>
  <dcterms:modified xsi:type="dcterms:W3CDTF">2026-03-29T19:09:00Z</dcterms:modified>
</cp:coreProperties>
</file>