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SIGP</w:t>
      </w:r>
    </w:p>
    <w:p>
      <w:pPr>
        <w:jc w:val="center"/>
      </w:pPr>
      <w:r>
        <w:rPr>
          <w:b/>
          <w:sz w:val="32"/>
        </w:rPr>
        <w:t>Sistema Integral de Gestión de Parqueadero</w:t>
      </w:r>
    </w:p>
    <w:p>
      <w:pPr>
        <w:jc w:val="center"/>
      </w:pPr>
      <w:r>
        <w:rPr>
          <w:b/>
          <w:sz w:val="40"/>
        </w:rPr>
        <w:t>PARQUEADERO JAVI</w:t>
      </w:r>
    </w:p>
    <w:p/>
    <w:p>
      <w:pPr>
        <w:jc w:val="center"/>
      </w:pPr>
      <w:r>
        <w:rPr>
          <w:b/>
          <w:sz w:val="36"/>
        </w:rPr>
        <w:t>DOCUMENTO MAESTRO DE INGENIERÍA</w:t>
      </w:r>
    </w:p>
    <w:p>
      <w:pPr>
        <w:jc w:val="center"/>
      </w:pPr>
      <w:r>
        <w:rPr>
          <w:b/>
          <w:sz w:val="26"/>
        </w:rPr>
        <w:t>Versión actualizada durante implementación - Backend V1</w:t>
      </w:r>
    </w:p>
    <w:p/>
    <w:p>
      <w:pPr>
        <w:jc w:val="center"/>
      </w:pPr>
      <w:r>
        <w:t>Fecha de actualización: 20 de septiembre de 2026</w:t>
      </w:r>
    </w:p>
    <w:p>
      <w:pPr>
        <w:jc w:val="center"/>
      </w:pPr>
      <w:r>
        <w:t>Estado: arquitectura funcional consolidada; backend avanzado y validado por módulos</w:t>
      </w:r>
    </w:p>
    <w:p>
      <w:pPr>
        <w:jc w:val="center"/>
      </w:pPr>
      <w:r>
        <w:t>Fuente oficial para continuidad de implementación y control de cambios</w:t>
      </w:r>
    </w:p>
    <w:p>
      <w:r>
        <w:br w:type="page"/>
      </w:r>
    </w:p>
    <w:p>
      <w:pPr>
        <w:pStyle w:val="Heading1"/>
      </w:pPr>
      <w:r>
        <w:t>1. Propósito, alcance y fuente de verdad</w:t>
      </w:r>
    </w:p>
    <w:p>
      <w:r>
        <w:t>SIGP es una aplicación para administrar la operación de PARQUEADERO JAVI. El diseño prioriza simplicidad, trazabilidad financiera, continuidad operativa, seguridad proporcional al tipo de aplicación y facilidad de mantenimiento.</w:t>
      </w:r>
    </w:p>
    <w:p>
      <w:pPr>
        <w:pStyle w:val="ListBullet"/>
        <w:spacing w:after="40"/>
      </w:pPr>
      <w:r>
        <w:t>Esta versión sustituye como referencia operativa a la versión del 14 de septiembre de 2026, conservando sus decisiones vigentes e incorporando las decisiones posteriores aprobadas durante la implementación.</w:t>
      </w:r>
    </w:p>
    <w:p>
      <w:pPr>
        <w:pStyle w:val="ListBullet"/>
        <w:spacing w:after="40"/>
      </w:pPr>
      <w:r>
        <w:t>Las seis entidades funcionales principales son Colaborador, Tarifa, Servicio, Pago, Caja y Auditoria.</w:t>
      </w:r>
    </w:p>
    <w:p>
      <w:pPr>
        <w:pStyle w:val="ListBullet"/>
        <w:spacing w:after="40"/>
      </w:pPr>
      <w:r>
        <w:t>No se utilizan las entidades Vehiculo, Puesto, DetalleTarifa, Configuracion ni CierreDiario.</w:t>
      </w:r>
    </w:p>
    <w:p>
      <w:pPr>
        <w:pStyle w:val="ListBullet"/>
        <w:spacing w:after="40"/>
      </w:pPr>
      <w:r>
        <w:t>La tabla recuperacion_contrasena es infraestructura auxiliar de seguridad y no altera el modelo funcional principal.</w:t>
      </w:r>
    </w:p>
    <w:p>
      <w:pPr>
        <w:pStyle w:val="ListBullet"/>
        <w:spacing w:after="40"/>
      </w:pPr>
      <w:r>
        <w:t>PostgreSQL es el motor de base de datos; el backend se desarrolla con Node.js, Fastify y TypeScript.</w:t>
      </w:r>
    </w:p>
    <w:p>
      <w:pPr>
        <w:pStyle w:val="ListBullet"/>
        <w:spacing w:after="40"/>
      </w:pPr>
      <w:r>
        <w:t>Codex u otra herramienta de asistencia debe respetar este documento y no introducir cambios funcionales o de arquitectura sin autorización.</w:t>
      </w:r>
    </w:p>
    <w:p>
      <w:pPr>
        <w:pStyle w:val="Heading1"/>
      </w:pPr>
      <w:r>
        <w:t>2. Capacidad y disponibilidad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816"/>
            <w:shd w:fill="D9EAF7"/>
            <w:vAlign w:val="center"/>
          </w:tcPr>
          <w:p>
            <w:r>
              <w:rPr>
                <w:b/>
              </w:rPr>
              <w:t>Capacidad fija</w:t>
            </w:r>
          </w:p>
        </w:tc>
      </w:tr>
      <w:tr>
        <w:tc>
          <w:tcPr>
            <w:tcW w:type="dxa" w:w="4816"/>
            <w:vAlign w:val="center"/>
          </w:tcPr>
          <w:p>
            <w:r>
              <w:t>Carros</w:t>
            </w:r>
          </w:p>
        </w:tc>
        <w:tc>
          <w:tcPr>
            <w:tcW w:type="dxa" w:w="4816"/>
            <w:vAlign w:val="center"/>
          </w:tcPr>
          <w:p>
            <w:r>
              <w:t>70</w:t>
            </w:r>
          </w:p>
        </w:tc>
      </w:tr>
      <w:tr>
        <w:tc>
          <w:tcPr>
            <w:tcW w:type="dxa" w:w="4816"/>
            <w:vAlign w:val="center"/>
          </w:tcPr>
          <w:p>
            <w:r>
              <w:t>Motocicletas</w:t>
            </w:r>
          </w:p>
        </w:tc>
        <w:tc>
          <w:tcPr>
            <w:tcW w:type="dxa" w:w="4816"/>
            <w:vAlign w:val="center"/>
          </w:tcPr>
          <w:p>
            <w:r>
              <w:t>100</w:t>
            </w:r>
          </w:p>
        </w:tc>
      </w:tr>
      <w:tr>
        <w:tc>
          <w:tcPr>
            <w:tcW w:type="dxa" w:w="4816"/>
            <w:vAlign w:val="center"/>
          </w:tcPr>
          <w:p>
            <w:r>
              <w:t>Bicicletas</w:t>
            </w:r>
          </w:p>
        </w:tc>
        <w:tc>
          <w:tcPr>
            <w:tcW w:type="dxa" w:w="4816"/>
            <w:vAlign w:val="center"/>
          </w:tcPr>
          <w:p>
            <w:r>
              <w:t>100</w:t>
            </w:r>
          </w:p>
        </w:tc>
      </w:tr>
      <w:tr>
        <w:tc>
          <w:tcPr>
            <w:tcW w:type="dxa" w:w="4816"/>
            <w:vAlign w:val="center"/>
          </w:tcPr>
          <w:p>
            <w:r>
              <w:t>TOTAL</w:t>
            </w:r>
          </w:p>
        </w:tc>
        <w:tc>
          <w:tcPr>
            <w:tcW w:type="dxa" w:w="4816"/>
            <w:vAlign w:val="center"/>
          </w:tcPr>
          <w:p>
            <w:r>
              <w:t>270</w:t>
            </w:r>
          </w:p>
        </w:tc>
      </w:tr>
    </w:tbl>
    <w:p/>
    <w:p>
      <w:r>
        <w:t>Fórmula: disponibilidad = capacidad fija - cantidad de servicios activos del tipo correspondiente.</w:t>
      </w:r>
    </w:p>
    <w:p>
      <w:pPr>
        <w:pStyle w:val="ListBullet"/>
        <w:spacing w:after="40"/>
      </w:pPr>
      <w:r>
        <w:t>No existen puestos numerados ni ubicación individual de vehículos.</w:t>
      </w:r>
    </w:p>
    <w:p>
      <w:pPr>
        <w:pStyle w:val="ListBullet"/>
        <w:spacing w:after="40"/>
      </w:pPr>
      <w:r>
        <w:t>La disponibilidad se calcula desde los Servicios activos y no se almacena como contador independiente.</w:t>
      </w:r>
    </w:p>
    <w:p>
      <w:pPr>
        <w:pStyle w:val="ListBullet"/>
        <w:spacing w:after="40"/>
      </w:pPr>
      <w:r>
        <w:t>Cuando una categoría llega a cero cupos, se bloquea una nueva entrada y se muestra SIN CUPOS DISPONIBLES.</w:t>
      </w:r>
    </w:p>
    <w:p>
      <w:pPr>
        <w:pStyle w:val="ListBullet"/>
        <w:spacing w:after="40"/>
      </w:pPr>
      <w:r>
        <w:t>Después de un reinicio, la disponibilidad se reconstruye consultando PostgreSQL.</w:t>
      </w:r>
    </w:p>
    <w:p>
      <w:pPr>
        <w:pStyle w:val="Heading1"/>
      </w:pPr>
      <w:r>
        <w:t>3. Tarifas, horarios y pernocta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shd w:fill="D9EAF7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926"/>
            <w:shd w:fill="D9EAF7"/>
            <w:vAlign w:val="center"/>
          </w:tcPr>
          <w:p>
            <w:r>
              <w:rPr>
                <w:b/>
              </w:rPr>
              <w:t>Tarifa diurna</w:t>
            </w:r>
          </w:p>
        </w:tc>
        <w:tc>
          <w:tcPr>
            <w:tcW w:type="dxa" w:w="1926"/>
            <w:shd w:fill="D9EAF7"/>
            <w:vAlign w:val="center"/>
          </w:tcPr>
          <w:p>
            <w:r>
              <w:rPr>
                <w:b/>
              </w:rPr>
              <w:t>Fracción adicional</w:t>
            </w:r>
          </w:p>
        </w:tc>
        <w:tc>
          <w:tcPr>
            <w:tcW w:type="dxa" w:w="1926"/>
            <w:shd w:fill="D9EAF7"/>
            <w:vAlign w:val="center"/>
          </w:tcPr>
          <w:p>
            <w:r>
              <w:rPr>
                <w:b/>
              </w:rPr>
              <w:t>Pernocta</w:t>
            </w:r>
          </w:p>
        </w:tc>
        <w:tc>
          <w:tcPr>
            <w:tcW w:type="dxa" w:w="1926"/>
            <w:shd w:fill="D9EAF7"/>
            <w:vAlign w:val="center"/>
          </w:tcPr>
          <w:p>
            <w:r>
              <w:rPr>
                <w:b/>
              </w:rPr>
              <w:t>Bicicleta</w:t>
            </w:r>
          </w:p>
        </w:tc>
      </w:tr>
      <w:tr>
        <w:tc>
          <w:tcPr>
            <w:tcW w:type="dxa" w:w="1926"/>
            <w:vAlign w:val="center"/>
          </w:tcPr>
          <w:p>
            <w:r>
              <w:t>Carro</w:t>
            </w:r>
          </w:p>
        </w:tc>
        <w:tc>
          <w:tcPr>
            <w:tcW w:type="dxa" w:w="1926"/>
            <w:vAlign w:val="center"/>
          </w:tcPr>
          <w:p>
            <w:r>
              <w:t>$3.000 / 120 min</w:t>
            </w:r>
          </w:p>
        </w:tc>
        <w:tc>
          <w:tcPr>
            <w:tcW w:type="dxa" w:w="1926"/>
            <w:vAlign w:val="center"/>
          </w:tcPr>
          <w:p>
            <w:r>
              <w:t>$300 / 15 min</w:t>
            </w:r>
          </w:p>
        </w:tc>
        <w:tc>
          <w:tcPr>
            <w:tcW w:type="dxa" w:w="1926"/>
            <w:vAlign w:val="center"/>
          </w:tcPr>
          <w:p>
            <w:r>
              <w:t>$9.000</w:t>
            </w:r>
          </w:p>
        </w:tc>
        <w:tc>
          <w:tcPr>
            <w:tcW w:type="dxa" w:w="1926"/>
            <w:vAlign w:val="center"/>
          </w:tcPr>
          <w:p>
            <w:r>
              <w:t>No aplica</w:t>
            </w:r>
          </w:p>
        </w:tc>
      </w:tr>
      <w:tr>
        <w:tc>
          <w:tcPr>
            <w:tcW w:type="dxa" w:w="1926"/>
            <w:vAlign w:val="center"/>
          </w:tcPr>
          <w:p>
            <w:r>
              <w:t>Moto</w:t>
            </w:r>
          </w:p>
        </w:tc>
        <w:tc>
          <w:tcPr>
            <w:tcW w:type="dxa" w:w="1926"/>
            <w:vAlign w:val="center"/>
          </w:tcPr>
          <w:p>
            <w:r>
              <w:t>$2.000 / 120 min</w:t>
            </w:r>
          </w:p>
        </w:tc>
        <w:tc>
          <w:tcPr>
            <w:tcW w:type="dxa" w:w="1926"/>
            <w:vAlign w:val="center"/>
          </w:tcPr>
          <w:p>
            <w:r>
              <w:t>$200 / 15 min</w:t>
            </w:r>
          </w:p>
        </w:tc>
        <w:tc>
          <w:tcPr>
            <w:tcW w:type="dxa" w:w="1926"/>
            <w:vAlign w:val="center"/>
          </w:tcPr>
          <w:p>
            <w:r>
              <w:t>$5.000</w:t>
            </w:r>
          </w:p>
        </w:tc>
        <w:tc>
          <w:tcPr>
            <w:tcW w:type="dxa" w:w="1926"/>
            <w:vAlign w:val="center"/>
          </w:tcPr>
          <w:p>
            <w:r>
              <w:t>No aplica</w:t>
            </w:r>
          </w:p>
        </w:tc>
      </w:tr>
      <w:tr>
        <w:tc>
          <w:tcPr>
            <w:tcW w:type="dxa" w:w="1926"/>
            <w:vAlign w:val="center"/>
          </w:tcPr>
          <w:p>
            <w:r>
              <w:t>Bicicleta</w:t>
            </w:r>
          </w:p>
        </w:tc>
        <w:tc>
          <w:tcPr>
            <w:tcW w:type="dxa" w:w="1926"/>
            <w:vAlign w:val="center"/>
          </w:tcPr>
          <w:p>
            <w:r>
              <w:t>No aplica</w:t>
            </w:r>
          </w:p>
        </w:tc>
        <w:tc>
          <w:tcPr>
            <w:tcW w:type="dxa" w:w="1926"/>
            <w:vAlign w:val="center"/>
          </w:tcPr>
          <w:p>
            <w:r>
              <w:t>No aplica</w:t>
            </w:r>
          </w:p>
        </w:tc>
        <w:tc>
          <w:tcPr>
            <w:tcW w:type="dxa" w:w="1926"/>
            <w:vAlign w:val="center"/>
          </w:tcPr>
          <w:p>
            <w:r>
              <w:t>$2.000</w:t>
            </w:r>
          </w:p>
        </w:tc>
        <w:tc>
          <w:tcPr>
            <w:tcW w:type="dxa" w:w="1926"/>
            <w:vAlign w:val="center"/>
          </w:tcPr>
          <w:p>
            <w:r>
              <w:t>AM $1.000 / PM $1.000</w:t>
            </w:r>
          </w:p>
        </w:tc>
      </w:tr>
    </w:tbl>
    <w:p/>
    <w:p>
      <w:pPr>
        <w:pStyle w:val="ListBullet"/>
        <w:spacing w:after="40"/>
      </w:pPr>
      <w:r>
        <w:t>Horario operativo para nuevas entradas: 06:00 a 22:00. No se permiten nuevas entradas después de las 22:00.</w:t>
      </w:r>
    </w:p>
    <w:p>
      <w:pPr>
        <w:pStyle w:val="ListBullet"/>
        <w:spacing w:after="40"/>
      </w:pPr>
      <w:r>
        <w:t>Turno AM: 06:00-13:00. Turno PM: 13:00-22:00.</w:t>
      </w:r>
    </w:p>
    <w:p>
      <w:pPr>
        <w:pStyle w:val="ListBullet"/>
        <w:spacing w:after="40"/>
      </w:pPr>
      <w:r>
        <w:t>La ventana tarifaria de pernocta es 21:00-07:00.</w:t>
      </w:r>
    </w:p>
    <w:p>
      <w:pPr>
        <w:pStyle w:val="ListBullet"/>
        <w:spacing w:after="40"/>
      </w:pPr>
      <w:r>
        <w:t>Para Carro y Moto, una salida antes o exactamente a las 22:00 no activa pernocta; si el vehículo continúa dentro después de las 22:00, se activa la pernocta correspondiente.</w:t>
      </w:r>
    </w:p>
    <w:p>
      <w:pPr>
        <w:pStyle w:val="ListBullet"/>
        <w:spacing w:after="40"/>
      </w:pPr>
      <w:r>
        <w:t>Si un vehículo permanece después de la noche, se combina el cobro normal previo a las 21:00, la pernocta y las fracciones normales posteriores a las 07:00 cuando correspondan.</w:t>
      </w:r>
    </w:p>
    <w:p>
      <w:pPr>
        <w:pStyle w:val="ListBullet"/>
        <w:spacing w:after="40"/>
      </w:pPr>
      <w:r>
        <w:t>Bicicleta cobra $1.000 por turno diurno AM y $1.000 por turno PM, sin fracciones; pernocta completa $2.000.</w:t>
      </w:r>
    </w:p>
    <w:p>
      <w:pPr>
        <w:pStyle w:val="ListBullet"/>
        <w:spacing w:after="40"/>
      </w:pPr>
      <w:r>
        <w:t>Tarifa utiliza fecha_hora_inicio como única regla de vigencia. No existe fecha_hora_fin ni campo activo.</w:t>
      </w:r>
    </w:p>
    <w:p>
      <w:pPr>
        <w:pStyle w:val="ListBullet"/>
        <w:spacing w:after="40"/>
      </w:pPr>
      <w:r>
        <w:t>Se selecciona la versión de Tarifa más reciente cuya fecha_hora_inicio sea menor o igual a la entrada del Servicio.</w:t>
      </w:r>
    </w:p>
    <w:p>
      <w:pPr>
        <w:pStyle w:val="ListBullet"/>
        <w:spacing w:after="40"/>
      </w:pPr>
      <w:r>
        <w:t>Las tarifas históricas nunca se sobrescriben ni eliminan; un Servicio conserva el id_tarifa con el que inició.</w:t>
      </w:r>
    </w:p>
    <w:p>
      <w:pPr>
        <w:pStyle w:val="Heading1"/>
      </w:pPr>
      <w:r>
        <w:t>4. Modelo de datos aprobado</w:t>
      </w:r>
    </w:p>
    <w:p>
      <w:pPr>
        <w:pStyle w:val="Heading2"/>
      </w:pPr>
      <w:r>
        <w:t>4.1 Colaborador</w:t>
      </w:r>
    </w:p>
    <w:p>
      <w:r>
        <w:t>id_colaborador (PK), nombre, documento (único), usuario (único), correo, password_hash, rol, estado, requiere_cambio_contrasena.</w:t>
      </w:r>
    </w:p>
    <w:p>
      <w:pPr>
        <w:pStyle w:val="Heading2"/>
      </w:pPr>
      <w:r>
        <w:t>4.2 Tarifa</w:t>
      </w:r>
    </w:p>
    <w:p>
      <w:r>
        <w:t>id_tarifa (PK), tipo_vehiculo, valor_inicial, minutos_iniciales, valor_fraccion, minutos_fraccion, valor_pernocta, valor_turno_am, valor_turno_pm, fecha_hora_inicio.</w:t>
      </w:r>
    </w:p>
    <w:p>
      <w:pPr>
        <w:pStyle w:val="Heading2"/>
      </w:pPr>
      <w:r>
        <w:t>4.3 Servicio</w:t>
      </w:r>
    </w:p>
    <w:p>
      <w:r>
        <w:t>id_servicio (PK), codigo_recibo (único), placa, identificacion_usuario, tipo_vehiculo, vehiculo_especial, fecha_hora_entrada, fecha_hora_salida, tiempo_total, estado, valor_calculado, id_tarifa (FK), id_colaborador_entrada (FK), id_colaborador_salida (FK).</w:t>
      </w:r>
    </w:p>
    <w:p>
      <w:pPr>
        <w:pStyle w:val="Heading2"/>
      </w:pPr>
      <w:r>
        <w:t>4.4 Pago</w:t>
      </w:r>
    </w:p>
    <w:p>
      <w:r>
        <w:t>id_pago (PK), id_servicio (FK, único), id_caja (FK), valor_pagado, medio_pago, referencia_nequi (opcional), fecha_hora_pago, id_colaborador (FK).</w:t>
      </w:r>
    </w:p>
    <w:p>
      <w:pPr>
        <w:pStyle w:val="Heading2"/>
      </w:pPr>
      <w:r>
        <w:t>4.5 Caja</w:t>
      </w:r>
    </w:p>
    <w:p>
      <w:r>
        <w:t>id_caja (PK), turno, fecha_hora_apertura, fecha_hora_cierre, recaudo_total, total_efectivo, total_nequi, efectivo_real, faltante_caja, sobrante_caja, id_colaborador (FK), estado, novedades, id_administrador_regulariza (opcional), fecha_hora_regularizacion (opcional).</w:t>
      </w:r>
    </w:p>
    <w:p>
      <w:pPr>
        <w:pStyle w:val="Heading2"/>
      </w:pPr>
      <w:r>
        <w:t>4.6 Auditoria</w:t>
      </w:r>
    </w:p>
    <w:p>
      <w:r>
        <w:t>id_auditoria (PK), fecha_hora, id_administrador_auditor (FK), id_operador_auditado (FK), id_caja (FK), carros_sistema/fisico, motos_sistema/fisico, bicicletas_sistema/fisico, observaciones.</w:t>
      </w:r>
    </w:p>
    <w:p>
      <w:pPr>
        <w:pStyle w:val="Heading2"/>
      </w:pPr>
      <w:r>
        <w:t>4.7 Recuperacion de contraseña (auxiliar)</w:t>
      </w:r>
    </w:p>
    <w:p>
      <w:r>
        <w:t>id_recuperacion (PK), id_colaborador (FK), codigo_hash, fecha_hora_creacion, fecha_hora_expiracion, intentos, utilizado, invalidado.</w:t>
      </w:r>
    </w:p>
    <w:p>
      <w:pPr>
        <w:pStyle w:val="Heading1"/>
      </w:pPr>
      <w:r>
        <w:t>5. Relaciones principales</w:t>
      </w:r>
    </w:p>
    <w:p>
      <w:pPr>
        <w:pStyle w:val="ListBullet"/>
        <w:spacing w:after="40"/>
      </w:pPr>
      <w:r>
        <w:t>Colaborador 1:N Servicio mediante colaborador de entrada y colaborador de salida.</w:t>
      </w:r>
    </w:p>
    <w:p>
      <w:pPr>
        <w:pStyle w:val="ListBullet"/>
        <w:spacing w:after="40"/>
      </w:pPr>
      <w:r>
        <w:t>Tarifa 1:N Servicio.</w:t>
      </w:r>
    </w:p>
    <w:p>
      <w:pPr>
        <w:pStyle w:val="ListBullet"/>
        <w:spacing w:after="40"/>
      </w:pPr>
      <w:r>
        <w:t>Servicio 1:1 Pago.</w:t>
      </w:r>
    </w:p>
    <w:p>
      <w:pPr>
        <w:pStyle w:val="ListBullet"/>
        <w:spacing w:after="40"/>
      </w:pPr>
      <w:r>
        <w:t>Caja 1:N Pago.</w:t>
      </w:r>
    </w:p>
    <w:p>
      <w:pPr>
        <w:pStyle w:val="ListBullet"/>
        <w:spacing w:after="40"/>
      </w:pPr>
      <w:r>
        <w:t>Colaborador 1:N Caja.</w:t>
      </w:r>
    </w:p>
    <w:p>
      <w:pPr>
        <w:pStyle w:val="ListBullet"/>
        <w:spacing w:after="40"/>
      </w:pPr>
      <w:r>
        <w:t>Caja 1:N Auditoria.</w:t>
      </w:r>
    </w:p>
    <w:p>
      <w:pPr>
        <w:pStyle w:val="ListBullet"/>
        <w:spacing w:after="40"/>
      </w:pPr>
      <w:r>
        <w:t>Colaborador se relaciona con Auditoria como auditor y como operador auditado.</w:t>
      </w:r>
    </w:p>
    <w:p>
      <w:pPr>
        <w:pStyle w:val="ListBullet"/>
        <w:spacing w:after="40"/>
      </w:pPr>
      <w:r>
        <w:t>Colaborador 1:N recuperacion_contrasena como relación auxiliar de seguridad.</w:t>
      </w:r>
    </w:p>
    <w:p>
      <w:pPr>
        <w:pStyle w:val="Heading1"/>
      </w:pPr>
      <w:r>
        <w:t>6. Identificación y recibos</w:t>
      </w:r>
    </w:p>
    <w:p>
      <w:pPr>
        <w:pStyle w:val="ListBullet"/>
        <w:spacing w:after="40"/>
      </w:pPr>
      <w:r>
        <w:t>Carro colombiano: 3 letras + 3 números, ejemplo ABC123.</w:t>
      </w:r>
    </w:p>
    <w:p>
      <w:pPr>
        <w:pStyle w:val="ListBullet"/>
        <w:spacing w:after="40"/>
      </w:pPr>
      <w:r>
        <w:t>Motocicleta colombiana: 3 letras + 2 números + 1 letra, ejemplo ABC12D.</w:t>
      </w:r>
    </w:p>
    <w:p>
      <w:pPr>
        <w:pStyle w:val="ListBullet"/>
        <w:spacing w:after="40"/>
      </w:pPr>
      <w:r>
        <w:t>Bicicleta: identificación mediante documento/ID o teléfono.</w:t>
      </w:r>
    </w:p>
    <w:p>
      <w:pPr>
        <w:pStyle w:val="ListBullet"/>
        <w:spacing w:after="40"/>
      </w:pPr>
      <w:r>
        <w:t>Vehículo especial o extranjero: vehiculo_especial = true, placa/ID libre y selección manual de Carro o Moto.</w:t>
      </w:r>
    </w:p>
    <w:p>
      <w:pPr>
        <w:pStyle w:val="ListBullet"/>
        <w:spacing w:after="40"/>
      </w:pPr>
      <w:r>
        <w:t>No se permiten placas aproximadas. Si una placa ya tiene Servicio activo, debe rectificarse antes de continuar.</w:t>
      </w:r>
    </w:p>
    <w:p>
      <w:pPr>
        <w:pStyle w:val="ListBullet"/>
        <w:spacing w:after="40"/>
      </w:pPr>
      <w:r>
        <w:t>No existe tabla Recibo. El recibo se genera con información de Servicio y Pago.</w:t>
      </w:r>
    </w:p>
    <w:p>
      <w:pPr>
        <w:pStyle w:val="ListBullet"/>
        <w:spacing w:after="40"/>
      </w:pPr>
      <w:r>
        <w:t>Consecutivos visibles permanentes e independientes: C-000001, M-000001 y B-000001.</w:t>
      </w:r>
    </w:p>
    <w:p>
      <w:pPr>
        <w:pStyle w:val="ListBullet"/>
        <w:spacing w:after="40"/>
      </w:pPr>
      <w:r>
        <w:t>En impresión, la letra C/M/B y la placa se muestran aproximadamente 20 % más grandes que el texto general.</w:t>
      </w:r>
    </w:p>
    <w:p>
      <w:pPr>
        <w:pStyle w:val="Heading1"/>
      </w:pPr>
      <w:r>
        <w:t>7. Servicio, salida y Pago</w:t>
      </w:r>
    </w:p>
    <w:p>
      <w:pPr>
        <w:pStyle w:val="ListBullet"/>
        <w:spacing w:after="40"/>
      </w:pPr>
      <w:r>
        <w:t>Servicio registra entrada, salida, duración total, tarifa utilizada y valor calculado.</w:t>
      </w:r>
    </w:p>
    <w:p>
      <w:pPr>
        <w:pStyle w:val="ListBullet"/>
        <w:spacing w:after="40"/>
      </w:pPr>
      <w:r>
        <w:t>Mientras está activo, fecha_hora_salida, tiempo_total, valor_calculado e id_colaborador_salida permanecen sin consolidar.</w:t>
      </w:r>
    </w:p>
    <w:p>
      <w:pPr>
        <w:pStyle w:val="ListBullet"/>
        <w:spacing w:after="40"/>
      </w:pPr>
      <w:r>
        <w:t>tiempo_total se almacena en minutos al finalizar y no es editable.</w:t>
      </w:r>
    </w:p>
    <w:p>
      <w:pPr>
        <w:pStyle w:val="ListBullet"/>
        <w:spacing w:after="40"/>
      </w:pPr>
      <w:r>
        <w:t>El cobro se realiza al salir. Medios aprobados: Efectivo y Nequi; referencia_nequi es opcional.</w:t>
      </w:r>
    </w:p>
    <w:p>
      <w:pPr>
        <w:pStyle w:val="ListBullet"/>
        <w:spacing w:after="40"/>
      </w:pPr>
      <w:r>
        <w:t>El Pago pertenece a la Caja abierta en el momento del cobro, aunque el Servicio haya iniciado en un turno anterior.</w:t>
      </w:r>
    </w:p>
    <w:p>
      <w:pPr>
        <w:pStyle w:val="ListBullet"/>
        <w:spacing w:after="40"/>
      </w:pPr>
      <w:r>
        <w:t>Pago + finalización de Servicio se ejecutan dentro de una Transaction (Transacción) de base de datos: ambos se confirman o ninguno se registra.</w:t>
      </w:r>
    </w:p>
    <w:p>
      <w:pPr>
        <w:pStyle w:val="ListBullet"/>
        <w:spacing w:after="40"/>
      </w:pPr>
      <w:r>
        <w:t>Un Servicio puede permanecer activo durante varios turnos o días sin duplicarse ni cortarse.</w:t>
      </w:r>
    </w:p>
    <w:p>
      <w:pPr>
        <w:pStyle w:val="Heading1"/>
      </w:pPr>
      <w:r>
        <w:t>8. Caja, turnos, faltantes y consolidación</w:t>
      </w:r>
    </w:p>
    <w:p>
      <w:pPr>
        <w:pStyle w:val="ListBullet"/>
        <w:spacing w:after="40"/>
      </w:pPr>
      <w:r>
        <w:t>RECAUDO TOTAL se presenta primero: recaudo_total = total_efectivo + total_nequi.</w:t>
      </w:r>
    </w:p>
    <w:p>
      <w:pPr>
        <w:pStyle w:val="ListBullet"/>
        <w:spacing w:after="40"/>
      </w:pPr>
      <w:r>
        <w:t>faltante_caja = max(total_efectivo - efectivo_real, 0).</w:t>
      </w:r>
    </w:p>
    <w:p>
      <w:pPr>
        <w:pStyle w:val="ListBullet"/>
        <w:spacing w:after="40"/>
      </w:pPr>
      <w:r>
        <w:t>sobrante_caja = max(efectivo_real - total_efectivo, 0).</w:t>
      </w:r>
    </w:p>
    <w:p>
      <w:pPr>
        <w:pStyle w:val="ListBullet"/>
        <w:spacing w:after="40"/>
      </w:pPr>
      <w:r>
        <w:t>Antes del cierre, el Vigilante registra efectivo_real y ejecuta VERIFICAR. Si cambia efectivo_real, la verificación anterior deja de ser válida.</w:t>
      </w:r>
    </w:p>
    <w:p>
      <w:pPr>
        <w:pStyle w:val="ListBullet"/>
        <w:spacing w:after="40"/>
      </w:pPr>
      <w:r>
        <w:t>Una Caja puede cerrarse aunque existan Servicios activos.</w:t>
      </w:r>
    </w:p>
    <w:p>
      <w:pPr>
        <w:pStyle w:val="ListBullet"/>
        <w:spacing w:after="40"/>
      </w:pPr>
      <w:r>
        <w:t>Un faltante o sobrante NO impide cerrar la Caja y NO convierte automáticamente la Caja en pendiente.</w:t>
      </w:r>
    </w:p>
    <w:p>
      <w:pPr>
        <w:pStyle w:val="ListBullet"/>
        <w:spacing w:after="40"/>
      </w:pPr>
      <w:r>
        <w:t>Los faltantes quedan registrados y deben resaltarse visualmente en el historial para revisión administrativa.</w:t>
      </w:r>
    </w:p>
    <w:p>
      <w:pPr>
        <w:pStyle w:val="ListBullet"/>
        <w:spacing w:after="40"/>
      </w:pPr>
      <w:r>
        <w:t>El sistema puede consolidar faltantes por Vigilante y período para apoyo administrativo, pero SIGP NO realiza descuentos automáticos de nómina.</w:t>
      </w:r>
    </w:p>
    <w:p>
      <w:pPr>
        <w:pStyle w:val="ListBullet"/>
        <w:spacing w:after="40"/>
      </w:pPr>
      <w:r>
        <w:t>novedades permite documentar observaciones administrativas. En una Caja cerrada es el único campo aprobado que puede actualizarse.</w:t>
      </w:r>
    </w:p>
    <w:p>
      <w:pPr>
        <w:pStyle w:val="ListBullet"/>
        <w:spacing w:after="40"/>
      </w:pPr>
      <w:r>
        <w:t>El estado pendiente queda reservado para un escenario diferente, como finalizar turno sin cerrar Caja; su flujo definitivo no debe inventarse hasta ser aprobado.</w:t>
      </w:r>
    </w:p>
    <w:p>
      <w:pPr>
        <w:pStyle w:val="ListBullet"/>
        <w:spacing w:after="40"/>
      </w:pPr>
      <w:r>
        <w:t>No existe tabla CierreDiario; reportes y consolidaciones se obtienen desde Caja, Pago, Servicio y Auditoria.</w:t>
      </w:r>
    </w:p>
    <w:p>
      <w:pPr>
        <w:pStyle w:val="Heading1"/>
      </w:pPr>
      <w:r>
        <w:t>9. Auditoría</w:t>
      </w:r>
    </w:p>
    <w:p>
      <w:pPr>
        <w:pStyle w:val="ListBullet"/>
        <w:spacing w:after="40"/>
      </w:pPr>
      <w:r>
        <w:t>Administrador o Ingeniero/Superadministrador activo puede crear Auditorías.</w:t>
      </w:r>
    </w:p>
    <w:p>
      <w:pPr>
        <w:pStyle w:val="ListBullet"/>
        <w:spacing w:after="40"/>
      </w:pPr>
      <w:r>
        <w:t>La Caja auditada debe existir y corresponder al operador auditado.</w:t>
      </w:r>
    </w:p>
    <w:p>
      <w:pPr>
        <w:pStyle w:val="ListBullet"/>
        <w:spacing w:after="40"/>
      </w:pPr>
      <w:r>
        <w:t>Los conteos del sistema se calculan automáticamente desde los Servicios activos; el cliente aporta únicamente los conteos físicos.</w:t>
      </w:r>
    </w:p>
    <w:p>
      <w:pPr>
        <w:pStyle w:val="ListBullet"/>
        <w:spacing w:after="40"/>
      </w:pPr>
      <w:r>
        <w:t>Las diferencias se calculan en consulta y no necesitan almacenarse.</w:t>
      </w:r>
    </w:p>
    <w:p>
      <w:pPr>
        <w:pStyle w:val="ListBullet"/>
        <w:spacing w:after="40"/>
      </w:pPr>
      <w:r>
        <w:t>Las Auditorías son históricas e inmutables: no existen operaciones de edición o eliminación.</w:t>
      </w:r>
    </w:p>
    <w:p>
      <w:pPr>
        <w:pStyle w:val="ListBullet"/>
        <w:spacing w:after="40"/>
      </w:pPr>
      <w:r>
        <w:t>La consulta puede filtrarse por operador, auditor y rango de fechas.</w:t>
      </w:r>
    </w:p>
    <w:p>
      <w:pPr>
        <w:pStyle w:val="ListBullet"/>
        <w:spacing w:after="40"/>
      </w:pPr>
      <w:r>
        <w:t>Una Auditoría no modifica Servicios, Pagos ni Cajas.</w:t>
      </w:r>
    </w:p>
    <w:p>
      <w:pPr>
        <w:pStyle w:val="Heading1"/>
      </w:pPr>
      <w:r>
        <w:t>10. Roles, autenticación y seguridad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  <w:vAlign w:val="center"/>
          </w:tcPr>
          <w:p>
            <w:r>
              <w:rPr>
                <w:b/>
              </w:rPr>
              <w:t>Rol</w:t>
            </w:r>
          </w:p>
        </w:tc>
        <w:tc>
          <w:tcPr>
            <w:tcW w:type="dxa" w:w="4816"/>
            <w:shd w:fill="D9EAF7"/>
            <w:vAlign w:val="center"/>
          </w:tcPr>
          <w:p>
            <w:r>
              <w:rPr>
                <w:b/>
              </w:rPr>
              <w:t>Permisos principales</w:t>
            </w:r>
          </w:p>
        </w:tc>
      </w:tr>
      <w:tr>
        <w:tc>
          <w:tcPr>
            <w:tcW w:type="dxa" w:w="4816"/>
            <w:vAlign w:val="center"/>
          </w:tcPr>
          <w:p>
            <w:r>
              <w:t>Vigilante</w:t>
            </w:r>
          </w:p>
        </w:tc>
        <w:tc>
          <w:tcPr>
            <w:tcW w:type="dxa" w:w="4816"/>
            <w:vAlign w:val="center"/>
          </w:tcPr>
          <w:p>
            <w:r>
              <w:t>Operación diaria: entrada/salida, cobro, disponibilidad, Servicios activos y su propia Caja.</w:t>
            </w:r>
          </w:p>
        </w:tc>
      </w:tr>
      <w:tr>
        <w:tc>
          <w:tcPr>
            <w:tcW w:type="dxa" w:w="4816"/>
            <w:vAlign w:val="center"/>
          </w:tcPr>
          <w:p>
            <w:r>
              <w:t>Administrador</w:t>
            </w:r>
          </w:p>
        </w:tc>
        <w:tc>
          <w:tcPr>
            <w:tcW w:type="dxa" w:w="4816"/>
            <w:vAlign w:val="center"/>
          </w:tcPr>
          <w:p>
            <w:r>
              <w:t>Todo lo operativo + colaboradores, tarifas, auditorías, todas las Cajas, faltantes, novedades y restablecimiento de Vigilantes.</w:t>
            </w:r>
          </w:p>
        </w:tc>
      </w:tr>
      <w:tr>
        <w:tc>
          <w:tcPr>
            <w:tcW w:type="dxa" w:w="4816"/>
            <w:vAlign w:val="center"/>
          </w:tcPr>
          <w:p>
            <w:r>
              <w:t>Ingeniero / Superadministrador</w:t>
            </w:r>
          </w:p>
        </w:tc>
        <w:tc>
          <w:tcPr>
            <w:tcW w:type="dxa" w:w="4816"/>
            <w:vAlign w:val="center"/>
          </w:tcPr>
          <w:p>
            <w:r>
              <w:t>Hereda permisos del Administrador + mantenimiento técnico, configuración, despliegue y soporte; no puede alterar históricos consolidados.</w:t>
            </w:r>
          </w:p>
        </w:tc>
      </w:tr>
    </w:tbl>
    <w:p/>
    <w:p>
      <w:pPr>
        <w:pStyle w:val="ListBullet"/>
        <w:spacing w:after="40"/>
      </w:pPr>
      <w:r>
        <w:t>Autenticación mediante JWT (JSON Web Token / token de autenticación). El token identifica id_colaborador y rol.</w:t>
      </w:r>
    </w:p>
    <w:p>
      <w:pPr>
        <w:pStyle w:val="ListBullet"/>
        <w:spacing w:after="40"/>
      </w:pPr>
      <w:r>
        <w:t>En cada acceso protegido, el backend comprueba nuevamente que el Colaborador continúe activo.</w:t>
      </w:r>
    </w:p>
    <w:p>
      <w:pPr>
        <w:pStyle w:val="ListBullet"/>
        <w:spacing w:after="40"/>
      </w:pPr>
      <w:r>
        <w:t>Las contraseñas se almacenan exclusivamente mediante bcrypt; nunca se devuelve ni recupera la contraseña anterior.</w:t>
      </w:r>
    </w:p>
    <w:p>
      <w:pPr>
        <w:pStyle w:val="ListBullet"/>
        <w:spacing w:after="40"/>
      </w:pPr>
      <w:r>
        <w:t>Regla vigente de contraseña: mínimo 4 caracteres; no se exigen mayúsculas, números, símbolos ni otras reglas de composición.</w:t>
      </w:r>
    </w:p>
    <w:p>
      <w:pPr>
        <w:pStyle w:val="ListBullet"/>
        <w:spacing w:after="40"/>
      </w:pPr>
      <w:r>
        <w:t>Todos los roles autenticados pueden cambiar voluntariamente su contraseña verificando primero la contraseña actual.</w:t>
      </w:r>
    </w:p>
    <w:p>
      <w:pPr>
        <w:pStyle w:val="ListBullet"/>
        <w:spacing w:after="40"/>
      </w:pPr>
      <w:r>
        <w:t>Administrador puede restablecer la contraseña de Vigilantes. Ingeniero/Superadministrador puede restablecer Vigilantes y Administradores. Administrador no puede restablecer Ingeniero/Superadministrador.</w:t>
      </w:r>
    </w:p>
    <w:p>
      <w:pPr>
        <w:pStyle w:val="ListBullet"/>
        <w:spacing w:after="40"/>
      </w:pPr>
      <w:r>
        <w:t>Un restablecimiento administrativo genera una contraseña temporal y requiere_cambio_contrasena = true. El usuario puede iniciar sesión, pero las operaciones normales quedan bloqueadas hasta que cambie su contraseña.</w:t>
      </w:r>
    </w:p>
    <w:p>
      <w:pPr>
        <w:pStyle w:val="ListBullet"/>
        <w:spacing w:after="40"/>
      </w:pPr>
      <w:r>
        <w:t>Administrador e Ingeniero/Superadministrador pueden recuperar contraseña por correo mediante código de 6 dígitos, válido 10 minutos, máximo 3 intentos, un solo uso; un código nuevo invalida al anterior.</w:t>
      </w:r>
    </w:p>
    <w:p>
      <w:pPr>
        <w:pStyle w:val="ListBullet"/>
        <w:spacing w:after="40"/>
      </w:pPr>
      <w:r>
        <w:t>El código de recuperación no se almacena ni se devuelve en texto plano. La integración SMTP (protocolo de envío de correo) queda pendiente para la etapa de integración/despliegue.</w:t>
      </w:r>
    </w:p>
    <w:p>
      <w:pPr>
        <w:pStyle w:val="ListBullet"/>
        <w:spacing w:after="40"/>
      </w:pPr>
      <w:r>
        <w:t>No se implementan MFA/2FA, biometría, preguntas de seguridad ni autenticadores en Backend V1.</w:t>
      </w:r>
    </w:p>
    <w:p>
      <w:pPr>
        <w:pStyle w:val="Heading1"/>
      </w:pPr>
      <w:r>
        <w:t>11. Protección absoluta de históricos e integridad financiera</w:t>
      </w:r>
    </w:p>
    <w:p>
      <w:pPr>
        <w:pStyle w:val="ListBullet"/>
        <w:spacing w:after="40"/>
      </w:pPr>
      <w:r>
        <w:t>La inmutabilidad histórica aplica a TODOS los roles, incluido Ingeniero/Superadministrador.</w:t>
      </w:r>
    </w:p>
    <w:p>
      <w:pPr>
        <w:pStyle w:val="ListBullet"/>
        <w:spacing w:after="40"/>
      </w:pPr>
      <w:r>
        <w:t>Servicios finalizados no se reabren ni permiten modificar entrada, salida, tiempo, recibo, tarifa o valor consolidado.</w:t>
      </w:r>
    </w:p>
    <w:p>
      <w:pPr>
        <w:pStyle w:val="ListBullet"/>
        <w:spacing w:after="40"/>
      </w:pPr>
      <w:r>
        <w:t>Pagos confirmados no se editan ni eliminan.</w:t>
      </w:r>
    </w:p>
    <w:p>
      <w:pPr>
        <w:pStyle w:val="ListBullet"/>
        <w:spacing w:after="40"/>
      </w:pPr>
      <w:r>
        <w:t>Cajas cerradas conservan valores financieros, fechas y responsable; solo novedades puede actualizarse administrativamente.</w:t>
      </w:r>
    </w:p>
    <w:p>
      <w:pPr>
        <w:pStyle w:val="ListBullet"/>
        <w:spacing w:after="40"/>
      </w:pPr>
      <w:r>
        <w:t>Auditorías no se editan ni eliminan.</w:t>
      </w:r>
    </w:p>
    <w:p>
      <w:pPr>
        <w:pStyle w:val="ListBullet"/>
        <w:spacing w:after="40"/>
      </w:pPr>
      <w:r>
        <w:t>Tarifas históricas no se sobrescriben; los cambios crean nuevas versiones.</w:t>
      </w:r>
    </w:p>
    <w:p>
      <w:pPr>
        <w:pStyle w:val="ListBullet"/>
        <w:spacing w:after="40"/>
      </w:pPr>
      <w:r>
        <w:t>No se permite eliminar historial para ocultar operaciones.</w:t>
      </w:r>
    </w:p>
    <w:p>
      <w:pPr>
        <w:pStyle w:val="ListBullet"/>
        <w:spacing w:after="40"/>
      </w:pPr>
      <w:r>
        <w:t>Campos generados o calculados por el sistema, como fechas operativas, tiempo_total, codigo_recibo, valor_calculado, valor_pagado y totales de Caja, están protegidos.</w:t>
      </w:r>
    </w:p>
    <w:p>
      <w:pPr>
        <w:pStyle w:val="Heading1"/>
      </w:pPr>
      <w:r>
        <w:t>12. Continuidad operativa y acceso remoto</w:t>
      </w:r>
    </w:p>
    <w:p>
      <w:pPr>
        <w:pStyle w:val="ListBullet"/>
        <w:spacing w:after="40"/>
      </w:pPr>
      <w:r>
        <w:t>Tras reinicio del equipo, los Servicios activos se recuperan desde PostgreSQL y la disponibilidad se recalcula.</w:t>
      </w:r>
    </w:p>
    <w:p>
      <w:pPr>
        <w:pStyle w:val="ListBullet"/>
        <w:spacing w:after="40"/>
      </w:pPr>
      <w:r>
        <w:t>Las operaciones críticas utilizan transacciones para evitar estados parciales.</w:t>
      </w:r>
    </w:p>
    <w:p>
      <w:pPr>
        <w:pStyle w:val="ListBullet"/>
        <w:spacing w:after="40"/>
      </w:pPr>
      <w:r>
        <w:t>El Administrador podrá consultar el sistema remotamente mediante backend seguro y HTTPS cuando se implemente el despliegue remoto.</w:t>
      </w:r>
    </w:p>
    <w:p>
      <w:pPr>
        <w:pStyle w:val="ListBullet"/>
        <w:spacing w:after="40"/>
      </w:pPr>
      <w:r>
        <w:t>PostgreSQL no debe exponerse directamente a Internet.</w:t>
      </w:r>
    </w:p>
    <w:p>
      <w:pPr>
        <w:pStyle w:val="ListBullet"/>
        <w:spacing w:after="40"/>
      </w:pPr>
      <w:r>
        <w:t>El acceso remoto debe respetar autenticación y permisos por rol.</w:t>
      </w:r>
    </w:p>
    <w:p>
      <w:pPr>
        <w:pStyle w:val="Heading1"/>
      </w:pPr>
      <w:r>
        <w:t>13. Arquitectura técnica vigente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9EAF7"/>
            <w:vAlign w:val="center"/>
          </w:tcPr>
          <w:p>
            <w:r>
              <w:rPr>
                <w:b/>
              </w:rPr>
              <w:t>Capa</w:t>
            </w:r>
          </w:p>
        </w:tc>
        <w:tc>
          <w:tcPr>
            <w:tcW w:type="dxa" w:w="4816"/>
            <w:shd w:fill="D9EAF7"/>
            <w:vAlign w:val="center"/>
          </w:tcPr>
          <w:p>
            <w:r>
              <w:rPr>
                <w:b/>
              </w:rPr>
              <w:t>Tecnología / decisión</w:t>
            </w:r>
          </w:p>
        </w:tc>
      </w:tr>
      <w:tr>
        <w:tc>
          <w:tcPr>
            <w:tcW w:type="dxa" w:w="4816"/>
            <w:vAlign w:val="center"/>
          </w:tcPr>
          <w:p>
            <w:r>
              <w:t>Frontend</w:t>
            </w:r>
          </w:p>
        </w:tc>
        <w:tc>
          <w:tcPr>
            <w:tcW w:type="dxa" w:w="4816"/>
            <w:vAlign w:val="center"/>
          </w:tcPr>
          <w:p>
            <w:r>
              <w:t>React + TypeScript, previsto como PWA (Progressive Web App / aplicación web progresiva).</w:t>
            </w:r>
          </w:p>
        </w:tc>
      </w:tr>
      <w:tr>
        <w:tc>
          <w:tcPr>
            <w:tcW w:type="dxa" w:w="4816"/>
            <w:vAlign w:val="center"/>
          </w:tcPr>
          <w:p>
            <w:r>
              <w:t>Backend</w:t>
            </w:r>
          </w:p>
        </w:tc>
        <w:tc>
          <w:tcPr>
            <w:tcW w:type="dxa" w:w="4816"/>
            <w:vAlign w:val="center"/>
          </w:tcPr>
          <w:p>
            <w:r>
              <w:t>Node.js + Fastify + TypeScript.</w:t>
            </w:r>
          </w:p>
        </w:tc>
      </w:tr>
      <w:tr>
        <w:tc>
          <w:tcPr>
            <w:tcW w:type="dxa" w:w="4816"/>
            <w:vAlign w:val="center"/>
          </w:tcPr>
          <w:p>
            <w:r>
              <w:t>Base de datos</w:t>
            </w:r>
          </w:p>
        </w:tc>
        <w:tc>
          <w:tcPr>
            <w:tcW w:type="dxa" w:w="4816"/>
            <w:vAlign w:val="center"/>
          </w:tcPr>
          <w:p>
            <w:r>
              <w:t>PostgreSQL 17.</w:t>
            </w:r>
          </w:p>
        </w:tc>
      </w:tr>
      <w:tr>
        <w:tc>
          <w:tcPr>
            <w:tcW w:type="dxa" w:w="4816"/>
            <w:vAlign w:val="center"/>
          </w:tcPr>
          <w:p>
            <w:r>
              <w:t>Contenedores</w:t>
            </w:r>
          </w:p>
        </w:tc>
        <w:tc>
          <w:tcPr>
            <w:tcW w:type="dxa" w:w="4816"/>
            <w:vAlign w:val="center"/>
          </w:tcPr>
          <w:p>
            <w:r>
              <w:t>Docker, previsto para integración/despliegue.</w:t>
            </w:r>
          </w:p>
        </w:tc>
      </w:tr>
      <w:tr>
        <w:tc>
          <w:tcPr>
            <w:tcW w:type="dxa" w:w="4816"/>
            <w:vAlign w:val="center"/>
          </w:tcPr>
          <w:p>
            <w:r>
              <w:t>Control de versiones</w:t>
            </w:r>
          </w:p>
        </w:tc>
        <w:tc>
          <w:tcPr>
            <w:tcW w:type="dxa" w:w="4816"/>
            <w:vAlign w:val="center"/>
          </w:tcPr>
          <w:p>
            <w:r>
              <w:t>Git + GitHub.</w:t>
            </w:r>
          </w:p>
        </w:tc>
      </w:tr>
      <w:tr>
        <w:tc>
          <w:tcPr>
            <w:tcW w:type="dxa" w:w="4816"/>
            <w:vAlign w:val="center"/>
          </w:tcPr>
          <w:p>
            <w:r>
              <w:t>Seguridad</w:t>
            </w:r>
          </w:p>
        </w:tc>
        <w:tc>
          <w:tcPr>
            <w:tcW w:type="dxa" w:w="4816"/>
            <w:vAlign w:val="center"/>
          </w:tcPr>
          <w:p>
            <w:r>
              <w:t>bcrypt + JWT; variables sensibles en .env fuera del repositorio.</w:t>
            </w:r>
          </w:p>
        </w:tc>
      </w:tr>
    </w:tbl>
    <w:p/>
    <w:p>
      <w:pPr>
        <w:pStyle w:val="Heading1"/>
      </w:pPr>
      <w:r>
        <w:t>14. Estado técnico al 20 de septiembre de 2026</w:t>
      </w:r>
    </w:p>
    <w:p>
      <w:pPr>
        <w:pStyle w:val="ListBullet"/>
        <w:spacing w:after="40"/>
      </w:pPr>
      <w:r>
        <w:t>PostgreSQL está instalado y la base parqueadero_javi se encuentra operativa.</w:t>
      </w:r>
    </w:p>
    <w:p>
      <w:pPr>
        <w:pStyle w:val="ListBullet"/>
        <w:spacing w:after="40"/>
      </w:pPr>
      <w:r>
        <w:t>La estructura principal de base de datos, funciones tarifarias, secuencias, restricciones, índices y triggers principales ya fueron implementados.</w:t>
      </w:r>
    </w:p>
    <w:p>
      <w:pPr>
        <w:pStyle w:val="ListBullet"/>
        <w:spacing w:after="40"/>
      </w:pPr>
      <w:r>
        <w:t>Backend implementado por módulos: Colaborador, Auth, Tarifa, Servicio, Pago, Caja y Auditoria.</w:t>
      </w:r>
    </w:p>
    <w:p>
      <w:pPr>
        <w:pStyle w:val="ListBullet"/>
        <w:spacing w:after="40"/>
      </w:pPr>
      <w:r>
        <w:t>Se validaron los flujos principales de autenticación, roles, entrada/salida, Pago transaccional, Caja, faltantes y Auditoría.</w:t>
      </w:r>
    </w:p>
    <w:p>
      <w:pPr>
        <w:pStyle w:val="ListBullet"/>
        <w:spacing w:after="40"/>
      </w:pPr>
      <w:r>
        <w:t>Se implementó cambio voluntario y restablecimiento administrativo de contraseñas, incluyendo cambio obligatorio posterior.</w:t>
      </w:r>
    </w:p>
    <w:p>
      <w:pPr>
        <w:pStyle w:val="ListBullet"/>
        <w:spacing w:after="40"/>
      </w:pPr>
      <w:r>
        <w:t>La recuperación por correo está implementada a nivel de código; la configuración SMTP real queda pendiente.</w:t>
      </w:r>
    </w:p>
    <w:p>
      <w:pPr>
        <w:pStyle w:val="ListBullet"/>
        <w:spacing w:after="40"/>
      </w:pPr>
      <w:r>
        <w:t>Frontend todavía debe desarrollarse e integrarse con el backend.</w:t>
      </w:r>
    </w:p>
    <w:p>
      <w:pPr>
        <w:pStyle w:val="ListBullet"/>
        <w:spacing w:after="40"/>
      </w:pPr>
      <w:r>
        <w:t>Antes de declarar Backend V1 cerrado debe realizarse una auditoría final contra este Documento Maestro actualizado y resolver únicamente pendientes necesarios.</w:t>
      </w:r>
    </w:p>
    <w:p>
      <w:pPr>
        <w:pStyle w:val="Heading1"/>
      </w:pPr>
      <w:r>
        <w:t>15. Decisiones pendientes o futuras</w:t>
      </w:r>
    </w:p>
    <w:p>
      <w:pPr>
        <w:pStyle w:val="ListBullet"/>
        <w:spacing w:after="40"/>
      </w:pPr>
      <w:r>
        <w:t>Configurar y probar SMTP real durante integración/despliegue.</w:t>
      </w:r>
    </w:p>
    <w:p>
      <w:pPr>
        <w:pStyle w:val="ListBullet"/>
        <w:spacing w:after="40"/>
      </w:pPr>
      <w:r>
        <w:t>Definir, solo si se requiere, el flujo completo para Caja en estado pendiente y regularización administrativa.</w:t>
      </w:r>
    </w:p>
    <w:p>
      <w:pPr>
        <w:pStyle w:val="ListBullet"/>
        <w:spacing w:after="40"/>
      </w:pPr>
      <w:r>
        <w:t>Revisar en una etapa posterior robustez tarifaria para servicios de múltiples noches si aparecen casos operativos que lo requieran.</w:t>
      </w:r>
    </w:p>
    <w:p>
      <w:pPr>
        <w:pStyle w:val="ListBullet"/>
        <w:spacing w:after="40"/>
      </w:pPr>
      <w:r>
        <w:t>Expiración de JWT puede evaluarse como mejora futura; no es requisito aprobado para cerrar Backend V1.</w:t>
      </w:r>
    </w:p>
    <w:p>
      <w:pPr>
        <w:pStyle w:val="ListBullet"/>
        <w:spacing w:after="40"/>
      </w:pPr>
      <w:r>
        <w:t>Funciones técnicas específicas del Ingeniero/Superadministrador se implementarán únicamente cuando exista un contrato funcional aprobado.</w:t>
      </w:r>
    </w:p>
    <w:p>
      <w:pPr>
        <w:pStyle w:val="Heading1"/>
      </w:pPr>
      <w:r>
        <w:t>16. Principio de control de cambios</w:t>
      </w:r>
    </w:p>
    <w:p>
      <w:r>
        <w:t>Este Documento Maestro es la fuente funcional y arquitectónica de referencia del proyecto a partir del 20 de septiembre de 2026. Toda modificación importante de reglas de negocio, entidades, tarifas, seguridad, roles o flujos operativos debe aprobarse antes de incorporarse. Codex u otra herramienta de asistencia no debe modificar arquitectura ni introducir funcionalidades por iniciativa propia.</w:t>
      </w:r>
    </w:p>
    <w:p>
      <w:r>
        <w:t>Si una instrucción posterior aprobada expresamente durante el desarrollo modifica este documento, dicha decisión debe incorporarse a una nueva versión del Documento Maestro para mantener una única fuente de verdad.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Documento de ingeniería - Fuente oficial de arquitectura y reglas aprobadas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SIGP - PARQUEADERO JAVI | Documento Maestro | 20-09-2026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