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9B480" w14:textId="77777777" w:rsidR="00FA0E5E" w:rsidRDefault="00FA0E5E" w:rsidP="00FA0E5E">
      <w:pPr>
        <w:spacing w:after="0" w:line="240" w:lineRule="auto"/>
        <w:jc w:val="center"/>
        <w:rPr>
          <w:b/>
        </w:rPr>
      </w:pPr>
      <w:r>
        <w:rPr>
          <w:b/>
        </w:rPr>
        <w:t xml:space="preserve">Product Description for SSWR Nutrients Topic Research Area 1: </w:t>
      </w:r>
    </w:p>
    <w:p w14:paraId="37FE509E" w14:textId="77777777" w:rsidR="00FA0E5E" w:rsidRDefault="00FA0E5E" w:rsidP="00FA0E5E">
      <w:pPr>
        <w:spacing w:after="0" w:line="240" w:lineRule="auto"/>
        <w:jc w:val="center"/>
        <w:rPr>
          <w:b/>
        </w:rPr>
      </w:pPr>
      <w:r>
        <w:rPr>
          <w:b/>
        </w:rPr>
        <w:t>Assessment and Management of HABs</w:t>
      </w:r>
    </w:p>
    <w:p w14:paraId="32678721" w14:textId="77777777" w:rsidR="00FA0E5E" w:rsidRDefault="00FA0E5E" w:rsidP="00FA0E5E">
      <w:pPr>
        <w:jc w:val="center"/>
      </w:pPr>
    </w:p>
    <w:p w14:paraId="48B7D81A" w14:textId="68E02E2C" w:rsidR="00FA0E5E" w:rsidRDefault="00FA0E5E" w:rsidP="00FA0E5E">
      <w:r>
        <w:t xml:space="preserve">To:  Nick Dugan (NRMRL-WSD) and </w:t>
      </w:r>
      <w:r w:rsidR="002305AD">
        <w:t xml:space="preserve">Blake </w:t>
      </w:r>
      <w:r>
        <w:t>Schaeffer (NERL-EMMD-SSAB) Research Leads</w:t>
      </w:r>
    </w:p>
    <w:p w14:paraId="4FEA327D" w14:textId="7287B933" w:rsidR="00FA0E5E" w:rsidRDefault="00FA0E5E" w:rsidP="00FA0E5E">
      <w:r>
        <w:t>From: Jeff Hollister (NHEERL-AED)</w:t>
      </w:r>
      <w:r w:rsidR="00087E16">
        <w:t>, Stephen Shivers (ORISE, NHEERL-AED)</w:t>
      </w:r>
      <w:r>
        <w:t>, Betty Kreakie (NHEERL-AED), Bryan Milstead (NHEERL-AED)</w:t>
      </w:r>
      <w:r w:rsidR="001B6A27">
        <w:t>, Blake Schaeffer (NERL-EMMD-SSAB)</w:t>
      </w:r>
    </w:p>
    <w:p w14:paraId="0B084B0D" w14:textId="12F3AEB3" w:rsidR="00FA0E5E" w:rsidRDefault="00FA0E5E" w:rsidP="00A56922">
      <w:pPr>
        <w:pStyle w:val="ListParagraph"/>
        <w:numPr>
          <w:ilvl w:val="0"/>
          <w:numId w:val="1"/>
        </w:numPr>
      </w:pPr>
      <w:r w:rsidRPr="00FA0E5E">
        <w:rPr>
          <w:b/>
        </w:rPr>
        <w:t>Applicable Output in RA1</w:t>
      </w:r>
      <w:r w:rsidRPr="00FA0E5E">
        <w:rPr>
          <w:b/>
        </w:rPr>
        <w:br/>
      </w:r>
      <w:r>
        <w:t xml:space="preserve">Output 3: </w:t>
      </w:r>
      <w:r w:rsidR="006C5CE2">
        <w:t xml:space="preserve"> Tools for HABs risk characterization and assessment</w:t>
      </w:r>
      <w:r>
        <w:br/>
      </w:r>
    </w:p>
    <w:p w14:paraId="5833F8AE" w14:textId="7A57190F" w:rsidR="00FA0E5E" w:rsidRPr="00056AEB" w:rsidRDefault="00FA0E5E" w:rsidP="00FA0E5E">
      <w:pPr>
        <w:pStyle w:val="ListParagraph"/>
        <w:numPr>
          <w:ilvl w:val="0"/>
          <w:numId w:val="1"/>
        </w:numPr>
        <w:rPr>
          <w:b/>
        </w:rPr>
      </w:pPr>
      <w:r w:rsidRPr="00056AEB">
        <w:rPr>
          <w:b/>
        </w:rPr>
        <w:t>Product Title</w:t>
      </w:r>
    </w:p>
    <w:p w14:paraId="665AB47D" w14:textId="56FBF02A" w:rsidR="00FA0E5E" w:rsidRDefault="00FA0E5E" w:rsidP="00FA0E5E">
      <w:pPr>
        <w:pStyle w:val="ListParagraph"/>
        <w:ind w:left="360"/>
      </w:pPr>
      <w:r>
        <w:t xml:space="preserve">High frequency spatial and temporal dynamics of </w:t>
      </w:r>
      <w:r w:rsidR="003F1B7A">
        <w:t>f</w:t>
      </w:r>
      <w:r w:rsidR="00B7672B">
        <w:t xml:space="preserve">reshwater </w:t>
      </w:r>
      <w:r w:rsidR="003F1B7A">
        <w:t>c</w:t>
      </w:r>
      <w:r w:rsidR="0041796A">
        <w:t xml:space="preserve">yanobacterial </w:t>
      </w:r>
      <w:r w:rsidR="003F1B7A">
        <w:t>HAB</w:t>
      </w:r>
      <w:r>
        <w:t>s</w:t>
      </w:r>
      <w:r>
        <w:br/>
      </w:r>
    </w:p>
    <w:p w14:paraId="78698C47" w14:textId="5BAA7972" w:rsidR="004B7C75" w:rsidRDefault="00FA0E5E" w:rsidP="00056AEB">
      <w:pPr>
        <w:pStyle w:val="ListParagraph"/>
        <w:numPr>
          <w:ilvl w:val="0"/>
          <w:numId w:val="1"/>
        </w:numPr>
      </w:pPr>
      <w:r w:rsidRPr="00056AEB">
        <w:rPr>
          <w:b/>
        </w:rPr>
        <w:t>Product Description (500 words max)</w:t>
      </w:r>
      <w:r w:rsidR="00560A21" w:rsidRPr="00056AEB">
        <w:rPr>
          <w:b/>
        </w:rPr>
        <w:br/>
      </w:r>
      <w:r w:rsidR="00560A21">
        <w:t xml:space="preserve">It is generally accepted that algal blooms are </w:t>
      </w:r>
      <w:r w:rsidR="00056AEB">
        <w:t xml:space="preserve">mostly </w:t>
      </w:r>
      <w:r w:rsidR="00560A21">
        <w:t xml:space="preserve">controlled by varying nutrient loads and temperature; however, </w:t>
      </w:r>
      <w:r w:rsidR="00FA1A5E">
        <w:t xml:space="preserve">those drivers </w:t>
      </w:r>
      <w:r w:rsidR="00560A21">
        <w:t xml:space="preserve">usually only describe the broad spatial and temporal patterns of blooms.  </w:t>
      </w:r>
      <w:r w:rsidR="005F7331">
        <w:t>Furthermore, most accessible existing datasets (e.g. National Lake Assessment) are snapshots or have relevant data at limited spatial and temporal resolutions.  While these resources have proved useful for understanding HABs</w:t>
      </w:r>
      <w:r w:rsidR="001B6A27">
        <w:t>,</w:t>
      </w:r>
      <w:r w:rsidR="005F7331">
        <w:t xml:space="preserve"> they raise several questions about bloom dynamics such as: 1) at what</w:t>
      </w:r>
      <w:r w:rsidR="00E85097">
        <w:t xml:space="preserve"> spatial and temporal scales within freshwater lakes and ponds do bloom drivers and indicators vary; 2) how does cyanotoxin production and presence vary in space and time within freshwater lakes; and 3) how do </w:t>
      </w:r>
      <w:proofErr w:type="spellStart"/>
      <w:r w:rsidR="00E85097">
        <w:t>phyto</w:t>
      </w:r>
      <w:proofErr w:type="spellEnd"/>
      <w:r w:rsidR="00E85097">
        <w:t xml:space="preserve">- and zooplankton community dynamics </w:t>
      </w:r>
      <w:r w:rsidR="00FA1A5E">
        <w:t xml:space="preserve">within </w:t>
      </w:r>
      <w:r w:rsidR="00E85097">
        <w:t xml:space="preserve">HABs vary over the course of a bloom? </w:t>
      </w:r>
      <w:r w:rsidR="004B7C75">
        <w:t xml:space="preserve">To answer questions about the spatial and temporal dynamics of HABs requires different approaches than have been typically used in field studies.  </w:t>
      </w:r>
      <w:r w:rsidR="003F1B7A">
        <w:br/>
      </w:r>
      <w:r w:rsidR="003F1B7A">
        <w:br/>
      </w:r>
      <w:r w:rsidR="004B7C75">
        <w:t>We propose to use two separate tools, fixed buoys for fine temporal scale data and an on-board flow through system (</w:t>
      </w:r>
      <w:proofErr w:type="spellStart"/>
      <w:r w:rsidR="004B7C75">
        <w:t>e.g</w:t>
      </w:r>
      <w:proofErr w:type="spellEnd"/>
      <w:r w:rsidR="004B7C75">
        <w:t xml:space="preserve"> a </w:t>
      </w:r>
      <w:proofErr w:type="spellStart"/>
      <w:r w:rsidR="004B7C75">
        <w:t>FLAMe</w:t>
      </w:r>
      <w:proofErr w:type="spellEnd"/>
      <w:r w:rsidR="004B7C75">
        <w:t xml:space="preserve"> - </w:t>
      </w:r>
      <w:r w:rsidR="004B7C75" w:rsidRPr="004B7C75">
        <w:t>https://flame.wisc.edu/</w:t>
      </w:r>
      <w:r w:rsidR="004B7C75">
        <w:t>) for fine-scale spatial data.  With the two different platforms</w:t>
      </w:r>
      <w:r w:rsidR="001B6A27">
        <w:t>,</w:t>
      </w:r>
      <w:r w:rsidR="004B7C75">
        <w:t xml:space="preserve"> we would explore different field data collection strategies.  Fixed buoys can provide us very detailed information but from fewer locations.  We would deploy buoys in a small number of local lakes and ponds that have existing data but </w:t>
      </w:r>
      <w:r w:rsidR="00FA1A5E">
        <w:t>have not been sampled at high frequency</w:t>
      </w:r>
      <w:r w:rsidR="004B7C75">
        <w:t xml:space="preserve">.  The buoys would provide physical, biological, and chemical </w:t>
      </w:r>
      <w:r w:rsidR="00F067B1">
        <w:t xml:space="preserve">data </w:t>
      </w:r>
      <w:r w:rsidR="004B7C75">
        <w:t>taken at short time steps (e.g. hourly) over the course of a growing season.  We would augment buoy data collection with frequent field collection of water samples for detailed nutrient and toxin analysis.  The on-board flow through system</w:t>
      </w:r>
      <w:r w:rsidR="00F067B1">
        <w:t xml:space="preserve"> would allow us to rapidly assess the full spatial variation </w:t>
      </w:r>
      <w:r w:rsidR="00FA1A5E">
        <w:t xml:space="preserve">of HABs </w:t>
      </w:r>
      <w:r w:rsidR="00F067B1">
        <w:t xml:space="preserve">within lakes and ponds.  This system would be used in the locations with the fixed buoys as well as in lakes and ponds throughout Rhode Island and southern New England. </w:t>
      </w:r>
      <w:r w:rsidR="00056AEB">
        <w:t xml:space="preserve">  </w:t>
      </w:r>
      <w:r w:rsidR="00F067B1">
        <w:t xml:space="preserve"> </w:t>
      </w:r>
      <w:r w:rsidR="003F1B7A">
        <w:br/>
      </w:r>
      <w:r w:rsidR="003F1B7A">
        <w:br/>
      </w:r>
      <w:r w:rsidR="00056AEB">
        <w:t>The proposed work</w:t>
      </w:r>
      <w:r w:rsidR="003F1B7A">
        <w:t xml:space="preserve"> </w:t>
      </w:r>
      <w:r w:rsidR="00056AEB">
        <w:t>also has</w:t>
      </w:r>
      <w:r w:rsidR="003F1B7A">
        <w:t xml:space="preserve"> great potential for other research efforts in EPA.  For instance, a </w:t>
      </w:r>
      <w:proofErr w:type="spellStart"/>
      <w:r w:rsidR="003F1B7A">
        <w:t>FLAMe</w:t>
      </w:r>
      <w:proofErr w:type="spellEnd"/>
      <w:r w:rsidR="003F1B7A">
        <w:t xml:space="preserve"> would be useful for algorithm development and accuracy assessments of remotely sensed cyanobacteria data products.  Also, </w:t>
      </w:r>
      <w:r w:rsidR="00C85C14">
        <w:t>c</w:t>
      </w:r>
      <w:r w:rsidR="003F1B7A">
        <w:t xml:space="preserve">ollaborators on the </w:t>
      </w:r>
      <w:r w:rsidR="00C85C14">
        <w:t xml:space="preserve">Southern New England Project (SNEP) </w:t>
      </w:r>
      <w:r w:rsidR="003F1B7A">
        <w:t>have indicate</w:t>
      </w:r>
      <w:r w:rsidR="00C85C14">
        <w:t>d an interest in</w:t>
      </w:r>
      <w:r w:rsidR="003F1B7A">
        <w:t xml:space="preserve"> better understanding</w:t>
      </w:r>
      <w:r w:rsidR="00056AEB">
        <w:t xml:space="preserve"> freshwater HABs on Cape Cod.  Lastly, given the volume of data that would be collected by this proposed product, our efforts would overlap with other computational ecology </w:t>
      </w:r>
      <w:r w:rsidR="00C85C14">
        <w:t>efforts</w:t>
      </w:r>
      <w:r w:rsidR="00056AEB">
        <w:t xml:space="preserve"> and we would </w:t>
      </w:r>
      <w:r w:rsidR="00C85C14">
        <w:t>use</w:t>
      </w:r>
      <w:r w:rsidR="00056AEB">
        <w:t xml:space="preserve"> computational approaches for analyzing these data as well as provide our data for other computational intensive HABs projects.</w:t>
      </w:r>
      <w:r w:rsidR="003F1B7A">
        <w:br/>
      </w:r>
      <w:r w:rsidR="003F1B7A">
        <w:lastRenderedPageBreak/>
        <w:br/>
      </w:r>
    </w:p>
    <w:p w14:paraId="2BB00263" w14:textId="77777777" w:rsidR="00FA0E5E" w:rsidRDefault="00FA0E5E" w:rsidP="00FA0E5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Lead PI and Co-PIs </w:t>
      </w:r>
    </w:p>
    <w:p w14:paraId="1A585799" w14:textId="429827FD" w:rsidR="00FA0E5E" w:rsidRDefault="00FA0E5E" w:rsidP="00FA0E5E">
      <w:pPr>
        <w:pStyle w:val="ListParagraph"/>
        <w:ind w:left="360"/>
      </w:pPr>
      <w:r>
        <w:t>Lead: Jeff Holl</w:t>
      </w:r>
      <w:r w:rsidR="00F067B1">
        <w:t>ister (</w:t>
      </w:r>
      <w:r>
        <w:t>NHEERL-AED</w:t>
      </w:r>
      <w:r w:rsidR="00F067B1">
        <w:t>)</w:t>
      </w:r>
    </w:p>
    <w:p w14:paraId="4A2554EF" w14:textId="60F8DEFE" w:rsidR="00FA0E5E" w:rsidRDefault="00FA0E5E" w:rsidP="00FA0E5E">
      <w:pPr>
        <w:pStyle w:val="ListParagraph"/>
        <w:ind w:left="360"/>
      </w:pPr>
      <w:r>
        <w:t xml:space="preserve">Co-PIs: </w:t>
      </w:r>
      <w:r w:rsidR="00F067B1">
        <w:t>Betty Kreakie (</w:t>
      </w:r>
      <w:r w:rsidR="006C5CE2">
        <w:t>NHEERL-AED</w:t>
      </w:r>
      <w:r w:rsidR="00F067B1">
        <w:t>); Bryan Milstead (</w:t>
      </w:r>
      <w:r w:rsidR="006C5CE2">
        <w:t>NHEERL-AED</w:t>
      </w:r>
      <w:r w:rsidR="00F067B1">
        <w:t>)</w:t>
      </w:r>
      <w:r w:rsidR="006C5CE2">
        <w:t>; Stephen Shivers</w:t>
      </w:r>
      <w:r w:rsidR="00F067B1">
        <w:t xml:space="preserve"> (</w:t>
      </w:r>
      <w:r w:rsidR="006C5CE2">
        <w:t>ORISE and NHEERL-AED</w:t>
      </w:r>
      <w:r w:rsidR="00F067B1">
        <w:t>)</w:t>
      </w:r>
      <w:r w:rsidR="001B6A27">
        <w:t>, Blake Schaeffer (NERL-EMMD-SSAB)</w:t>
      </w:r>
    </w:p>
    <w:p w14:paraId="15383230" w14:textId="77777777" w:rsidR="00FA0E5E" w:rsidRDefault="00FA0E5E" w:rsidP="00FA0E5E">
      <w:pPr>
        <w:pStyle w:val="ListParagraph"/>
        <w:ind w:left="360"/>
      </w:pPr>
    </w:p>
    <w:p w14:paraId="27EA1B5A" w14:textId="77777777" w:rsidR="00FA0E5E" w:rsidRDefault="00FA0E5E" w:rsidP="00FA0E5E">
      <w:pPr>
        <w:pStyle w:val="ListParagraph"/>
        <w:ind w:left="360"/>
        <w:rPr>
          <w:b/>
        </w:rPr>
      </w:pPr>
      <w:r>
        <w:rPr>
          <w:b/>
        </w:rPr>
        <w:t>Partners</w:t>
      </w:r>
    </w:p>
    <w:p w14:paraId="5B282336" w14:textId="3EEF0259" w:rsidR="00FA0E5E" w:rsidRDefault="00032CE3" w:rsidP="00FA0E5E">
      <w:pPr>
        <w:pStyle w:val="ListParagraph"/>
        <w:ind w:left="360"/>
      </w:pPr>
      <w:r>
        <w:t>Rhode Island Department</w:t>
      </w:r>
      <w:r w:rsidR="00626D58">
        <w:t xml:space="preserve"> of Environmental Management</w:t>
      </w:r>
    </w:p>
    <w:p w14:paraId="335AFE1C" w14:textId="35746FD3" w:rsidR="00FA0E5E" w:rsidRDefault="00626D58" w:rsidP="00FA0E5E">
      <w:pPr>
        <w:pStyle w:val="ListParagraph"/>
        <w:ind w:left="360"/>
      </w:pPr>
      <w:r>
        <w:t>US EPA – New England Regional Laboratory</w:t>
      </w:r>
    </w:p>
    <w:p w14:paraId="4EF2BFBA" w14:textId="221B87C8" w:rsidR="003E366E" w:rsidRDefault="003E366E" w:rsidP="00FA0E5E">
      <w:pPr>
        <w:pStyle w:val="ListParagraph"/>
        <w:ind w:left="360"/>
      </w:pPr>
      <w:r>
        <w:t>US EPA – Region 1</w:t>
      </w:r>
    </w:p>
    <w:p w14:paraId="1534B723" w14:textId="04EAF96F" w:rsidR="003E366E" w:rsidRDefault="003E366E" w:rsidP="00FA0E5E">
      <w:pPr>
        <w:pStyle w:val="ListParagraph"/>
        <w:ind w:left="360"/>
      </w:pPr>
      <w:r>
        <w:t>Cape Cod Commission</w:t>
      </w:r>
    </w:p>
    <w:p w14:paraId="456FD1FE" w14:textId="33B97158" w:rsidR="003E366E" w:rsidRDefault="003E366E" w:rsidP="00FA0E5E">
      <w:pPr>
        <w:pStyle w:val="ListParagraph"/>
        <w:ind w:left="360"/>
      </w:pPr>
      <w:r>
        <w:t>Barnstable Clean Water Coalition</w:t>
      </w:r>
    </w:p>
    <w:p w14:paraId="253CB263" w14:textId="77777777" w:rsidR="00626D58" w:rsidRDefault="00626D58" w:rsidP="00FA0E5E">
      <w:pPr>
        <w:pStyle w:val="ListParagraph"/>
        <w:ind w:left="360"/>
      </w:pPr>
    </w:p>
    <w:p w14:paraId="44D336BD" w14:textId="77777777" w:rsidR="00FA0E5E" w:rsidRDefault="00FA0E5E" w:rsidP="00FA0E5E">
      <w:pPr>
        <w:pStyle w:val="ListParagraph"/>
        <w:ind w:left="360"/>
      </w:pPr>
    </w:p>
    <w:p w14:paraId="75E7BDD5" w14:textId="77777777" w:rsidR="00FA0E5E" w:rsidRDefault="00FA0E5E" w:rsidP="00FA0E5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Regulatory Relevance</w:t>
      </w:r>
    </w:p>
    <w:p w14:paraId="566A9807" w14:textId="5324DC7A" w:rsidR="00FA0E5E" w:rsidRDefault="00FA0E5E" w:rsidP="00FA0E5E">
      <w:pPr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EPA Goal 1: CWA section 304a CWA 33 U.S. Code § 1254. Research, investigations, training, and information; The Harmful Algal Bloom Hypoxia Recovery and Control Act of 2014 (Public Law [113-124]) and the Drinking Water Protection Act of 2015 (Public Law [ 114-45]) </w:t>
      </w:r>
    </w:p>
    <w:p w14:paraId="525723ED" w14:textId="77777777" w:rsidR="00FA0E5E" w:rsidRDefault="00FA0E5E" w:rsidP="00FA0E5E">
      <w:pPr>
        <w:pStyle w:val="ListParagraph"/>
        <w:ind w:left="360"/>
        <w:rPr>
          <w:rFonts w:cstheme="minorHAnsi"/>
        </w:rPr>
      </w:pPr>
    </w:p>
    <w:p w14:paraId="740A1DB3" w14:textId="77777777" w:rsidR="00FA0E5E" w:rsidRDefault="00FA0E5E" w:rsidP="00FA0E5E">
      <w:pPr>
        <w:pStyle w:val="ListParagraph"/>
        <w:ind w:left="360"/>
        <w:rPr>
          <w:b/>
        </w:rPr>
      </w:pPr>
    </w:p>
    <w:p w14:paraId="253B23FC" w14:textId="77777777" w:rsidR="00056AEB" w:rsidRDefault="00FA0E5E" w:rsidP="00056AEB">
      <w:pPr>
        <w:pStyle w:val="ListParagraph"/>
        <w:numPr>
          <w:ilvl w:val="0"/>
          <w:numId w:val="1"/>
        </w:numPr>
      </w:pPr>
      <w:r w:rsidRPr="00056AEB">
        <w:rPr>
          <w:b/>
        </w:rPr>
        <w:t xml:space="preserve">Product Type </w:t>
      </w:r>
      <w:r w:rsidR="00056AEB">
        <w:rPr>
          <w:b/>
        </w:rPr>
        <w:br/>
      </w:r>
      <w:r w:rsidR="00056AEB">
        <w:t xml:space="preserve">The products from this work would include publications on characteristic spatial and temporal scales of freshwater HABs, open source software used to analyze and process the collected </w:t>
      </w:r>
      <w:proofErr w:type="gramStart"/>
      <w:r w:rsidR="00056AEB">
        <w:t>data, and</w:t>
      </w:r>
      <w:proofErr w:type="gramEnd"/>
      <w:r w:rsidR="00056AEB">
        <w:t xml:space="preserve"> open data products making the collected data available for others to use.  </w:t>
      </w:r>
    </w:p>
    <w:p w14:paraId="18729299" w14:textId="77777777" w:rsidR="00FA0E5E" w:rsidRDefault="00FA0E5E" w:rsidP="00056AEB">
      <w:pPr>
        <w:pStyle w:val="ListParagraph"/>
        <w:spacing w:after="0"/>
        <w:ind w:left="360"/>
      </w:pPr>
    </w:p>
    <w:p w14:paraId="6D92C954" w14:textId="77777777" w:rsidR="00091083" w:rsidRDefault="00091083"/>
    <w:sectPr w:rsidR="00091083" w:rsidSect="00210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D4B2E"/>
    <w:multiLevelType w:val="hybridMultilevel"/>
    <w:tmpl w:val="EEB2AE7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D4CBB"/>
    <w:multiLevelType w:val="hybridMultilevel"/>
    <w:tmpl w:val="BEC4E0CC"/>
    <w:lvl w:ilvl="0" w:tplc="9FDE8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E4A08F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17646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B1471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F66510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14E678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24EB0D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1027F0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2EA238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BB"/>
    <w:rsid w:val="00032CE3"/>
    <w:rsid w:val="00056AEB"/>
    <w:rsid w:val="00087E16"/>
    <w:rsid w:val="00091083"/>
    <w:rsid w:val="001B6A27"/>
    <w:rsid w:val="00210748"/>
    <w:rsid w:val="002305AD"/>
    <w:rsid w:val="002B45E3"/>
    <w:rsid w:val="003D6F9D"/>
    <w:rsid w:val="003E366E"/>
    <w:rsid w:val="003F1B7A"/>
    <w:rsid w:val="0041796A"/>
    <w:rsid w:val="00421CBB"/>
    <w:rsid w:val="004B7C75"/>
    <w:rsid w:val="00560A21"/>
    <w:rsid w:val="005F7331"/>
    <w:rsid w:val="00626D58"/>
    <w:rsid w:val="006C5CE2"/>
    <w:rsid w:val="007A623F"/>
    <w:rsid w:val="00987BDE"/>
    <w:rsid w:val="00A53ABF"/>
    <w:rsid w:val="00B7672B"/>
    <w:rsid w:val="00C85C14"/>
    <w:rsid w:val="00E85097"/>
    <w:rsid w:val="00F067B1"/>
    <w:rsid w:val="00FA0E5E"/>
    <w:rsid w:val="00FA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79AB74"/>
  <w15:chartTrackingRefBased/>
  <w15:docId w15:val="{9FE4ECE8-1F0D-46D2-A64D-B49262E5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0E5E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E5E"/>
    <w:pPr>
      <w:ind w:left="720"/>
      <w:contextualSpacing/>
    </w:pPr>
  </w:style>
  <w:style w:type="character" w:styleId="CommentReference">
    <w:name w:val="annotation reference"/>
    <w:basedOn w:val="DefaultParagraphFont"/>
    <w:rsid w:val="002305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05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305AD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rsid w:val="002305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305AD"/>
    <w:rPr>
      <w:rFonts w:asciiTheme="minorHAnsi" w:eastAsiaTheme="minorHAnsi" w:hAnsiTheme="minorHAnsi" w:cstheme="minorBidi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2305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305AD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6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A490502BCE94B94B40D182DF629A7" ma:contentTypeVersion="10" ma:contentTypeDescription="Create a new document." ma:contentTypeScope="" ma:versionID="28bec20bdad708f7ae6a18653d6d4c2a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92953017-96f5-40cd-8d9e-826506a80b1b" targetNamespace="http://schemas.microsoft.com/office/2006/metadata/properties" ma:root="true" ma:fieldsID="be3a59715631005a22bb91795b9fbde9" ns1:_="" ns2:_="" ns3:_="" ns4:_="" ns5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92953017-96f5-40cd-8d9e-826506a80b1b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Location" minOccurs="0"/>
                <xsd:element ref="ns5:MediaServiceGenerationTime" minOccurs="0"/>
                <xsd:element ref="ns5:MediaServiceEventHashCode" minOccurs="0"/>
                <xsd:element ref="ns5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01093599-154e-400e-9ae0-700e52867f82}" ma:internalName="TaxCatchAllLabel" ma:readOnly="true" ma:showField="CatchAllDataLabel" ma:web="9fc000db-11b0-40bf-9452-f6a3041727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01093599-154e-400e-9ae0-700e52867f82}" ma:internalName="TaxCatchAll" ma:showField="CatchAllData" ma:web="9fc000db-11b0-40bf-9452-f6a3041727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53017-96f5-40cd-8d9e-826506a80b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Location" ma:index="32" nillable="true" ma:displayName="Location" ma:internalName="MediaServiceLocation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2021-03-04T18:37:51+00:00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Props1.xml><?xml version="1.0" encoding="utf-8"?>
<ds:datastoreItem xmlns:ds="http://schemas.openxmlformats.org/officeDocument/2006/customXml" ds:itemID="{A0787526-16A3-401B-B373-42571EE706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92953017-96f5-40cd-8d9e-826506a80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ED26C9-7F54-4C5E-B541-07AC4C2C80B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79981C49-24ED-41B4-8B06-AB4027D23E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F4ADFF-9EC6-4C68-B08A-08AAA2C7E9B0}">
  <ds:schemaRefs>
    <ds:schemaRef ds:uri="http://schemas.microsoft.com/sharepoint.v3"/>
    <ds:schemaRef ds:uri="http://purl.org/dc/dcmitype/"/>
    <ds:schemaRef ds:uri="http://schemas.microsoft.com/sharepoint/v3"/>
    <ds:schemaRef ds:uri="http://schemas.microsoft.com/sharepoint/v3/field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2953017-96f5-40cd-8d9e-826506a80b1b"/>
    <ds:schemaRef ds:uri="http://purl.org/dc/terms/"/>
    <ds:schemaRef ds:uri="4ffa91fb-a0ff-4ac5-b2db-65c790d184a4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Hollister, Jeff</dc:creator>
  <cp:keywords/>
  <dc:description/>
  <cp:lastModifiedBy>Hollister, Jeff</cp:lastModifiedBy>
  <cp:revision>2</cp:revision>
  <dcterms:created xsi:type="dcterms:W3CDTF">2021-03-04T18:37:00Z</dcterms:created>
  <dcterms:modified xsi:type="dcterms:W3CDTF">2021-03-04T18:37:00Z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0x010100564A490502BCE94B94B40D182DF629A7</vt:lpwstr>
  </property>
  <property fmtid="{D5CDD505-2E9C-101B-9397-08002B2CF9AE}" pid="3" name="TaxKeyword">
    <vt:lpwstr/>
  </property>
  <property fmtid="{D5CDD505-2E9C-101B-9397-08002B2CF9AE}" pid="4" name="Document Type">
    <vt:lpwstr/>
  </property>
</Properties>
</file>