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20C" w:rsidRPr="00560DEB" w:rsidRDefault="006B5274" w:rsidP="00357891">
      <w:pPr>
        <w:rPr>
          <w:rFonts w:cs="Times New Roman"/>
          <w:b/>
          <w:sz w:val="28"/>
          <w:szCs w:val="28"/>
        </w:rPr>
      </w:pPr>
      <w:r>
        <w:rPr>
          <w:rFonts w:cs="Times New Roman"/>
          <w:b/>
          <w:sz w:val="28"/>
          <w:szCs w:val="28"/>
        </w:rPr>
        <w:t xml:space="preserve">An </w:t>
      </w:r>
      <w:r w:rsidR="0038799B">
        <w:rPr>
          <w:rFonts w:cs="Times New Roman"/>
          <w:b/>
          <w:sz w:val="28"/>
          <w:szCs w:val="28"/>
        </w:rPr>
        <w:t>improved</w:t>
      </w:r>
      <w:r>
        <w:rPr>
          <w:rFonts w:cs="Times New Roman"/>
          <w:b/>
          <w:sz w:val="28"/>
          <w:szCs w:val="28"/>
        </w:rPr>
        <w:t xml:space="preserve"> approach for </w:t>
      </w:r>
      <w:r w:rsidR="00855F6D">
        <w:rPr>
          <w:rFonts w:cs="Times New Roman"/>
          <w:b/>
          <w:sz w:val="28"/>
          <w:szCs w:val="28"/>
        </w:rPr>
        <w:t>using nutrients to predict</w:t>
      </w:r>
      <w:r>
        <w:rPr>
          <w:rFonts w:cs="Times New Roman"/>
          <w:b/>
          <w:sz w:val="28"/>
          <w:szCs w:val="28"/>
        </w:rPr>
        <w:t xml:space="preserve"> c</w:t>
      </w:r>
      <w:r w:rsidR="00C07A67" w:rsidRPr="00560DEB">
        <w:rPr>
          <w:rFonts w:cs="Times New Roman"/>
          <w:b/>
          <w:sz w:val="28"/>
          <w:szCs w:val="28"/>
        </w:rPr>
        <w:t xml:space="preserve">hlorophyll </w:t>
      </w:r>
      <w:r w:rsidR="00C07A67" w:rsidRPr="00560DEB">
        <w:rPr>
          <w:rFonts w:cs="Times New Roman"/>
          <w:b/>
          <w:i/>
          <w:sz w:val="28"/>
          <w:szCs w:val="28"/>
        </w:rPr>
        <w:t>a</w:t>
      </w:r>
      <w:r w:rsidR="00560DEB">
        <w:rPr>
          <w:rFonts w:cs="Times New Roman"/>
          <w:b/>
          <w:sz w:val="28"/>
          <w:szCs w:val="28"/>
        </w:rPr>
        <w:t xml:space="preserve"> concentrations in </w:t>
      </w:r>
      <w:r w:rsidR="008E7FE8">
        <w:rPr>
          <w:rFonts w:cs="Times New Roman"/>
          <w:b/>
          <w:sz w:val="28"/>
          <w:szCs w:val="28"/>
        </w:rPr>
        <w:t>l</w:t>
      </w:r>
      <w:r w:rsidR="00C07A67" w:rsidRPr="00560DEB">
        <w:rPr>
          <w:rFonts w:cs="Times New Roman"/>
          <w:b/>
          <w:sz w:val="28"/>
          <w:szCs w:val="28"/>
        </w:rPr>
        <w:t>akes</w:t>
      </w:r>
      <w:r w:rsidR="00560DEB">
        <w:rPr>
          <w:rFonts w:cs="Times New Roman"/>
          <w:b/>
          <w:sz w:val="28"/>
          <w:szCs w:val="28"/>
        </w:rPr>
        <w:t xml:space="preserve"> of the United States</w:t>
      </w:r>
    </w:p>
    <w:p w:rsidR="009972D4" w:rsidRDefault="00C07A67" w:rsidP="00357891">
      <w:r w:rsidRPr="00560DEB">
        <w:t>Jeffrey W. Hollister</w:t>
      </w:r>
      <w:r w:rsidRPr="00560DEB">
        <w:rPr>
          <w:vertAlign w:val="superscript"/>
        </w:rPr>
        <w:t>1,*</w:t>
      </w:r>
      <w:r w:rsidRPr="00560DEB">
        <w:t>, W. Bryan Milstead</w:t>
      </w:r>
      <w:r w:rsidRPr="00560DEB">
        <w:rPr>
          <w:vertAlign w:val="superscript"/>
        </w:rPr>
        <w:t>1</w:t>
      </w:r>
      <w:r w:rsidRPr="00560DEB">
        <w:t>, Betty J. Kreakie</w:t>
      </w:r>
      <w:r w:rsidRPr="00560DEB">
        <w:rPr>
          <w:vertAlign w:val="superscript"/>
        </w:rPr>
        <w:t>1</w:t>
      </w:r>
      <w:r w:rsidRPr="00560DEB">
        <w:t xml:space="preserve">, </w:t>
      </w:r>
      <w:r w:rsidR="009972D4">
        <w:t xml:space="preserve">and </w:t>
      </w:r>
      <w:r w:rsidR="00EE6BE6">
        <w:t xml:space="preserve">Richard B. Moore </w:t>
      </w:r>
      <w:r w:rsidR="00EE6BE6">
        <w:rPr>
          <w:vertAlign w:val="superscript"/>
        </w:rPr>
        <w:t>2</w:t>
      </w:r>
    </w:p>
    <w:p w:rsidR="00560DEB" w:rsidRDefault="00C07A67" w:rsidP="00357891">
      <w:proofErr w:type="gramStart"/>
      <w:r w:rsidRPr="00560DEB">
        <w:t>1 Atlantic Ecology Division,</w:t>
      </w:r>
      <w:r w:rsidR="00560DEB" w:rsidRPr="00560DEB">
        <w:t xml:space="preserve"> National Health and Environmental Effects Research Laboratory,</w:t>
      </w:r>
      <w:r w:rsidRPr="00560DEB">
        <w:t xml:space="preserve"> Office of Research and Development, U.S. Environmental Protection Agency</w:t>
      </w:r>
      <w:r w:rsidR="00560DEB" w:rsidRPr="00560DEB">
        <w:t>,</w:t>
      </w:r>
      <w:r w:rsidRPr="00560DEB">
        <w:t xml:space="preserve"> </w:t>
      </w:r>
      <w:r w:rsidR="00560DEB" w:rsidRPr="00560DEB">
        <w:t>Narragansett, RI, U.S.A.</w:t>
      </w:r>
      <w:proofErr w:type="gramEnd"/>
    </w:p>
    <w:p w:rsidR="00EE6BE6" w:rsidRPr="00560DEB" w:rsidRDefault="00EE6BE6" w:rsidP="00357891">
      <w:proofErr w:type="gramStart"/>
      <w:r>
        <w:t xml:space="preserve">2 </w:t>
      </w:r>
      <w:r w:rsidR="009972D4">
        <w:t>New Hampshire-Vermont Water Science Center, U.S. Geological Survey</w:t>
      </w:r>
      <w:r w:rsidR="009972D4" w:rsidRPr="009972D4">
        <w:t>, Pembroke, New Hampshire</w:t>
      </w:r>
      <w:r w:rsidR="009972D4">
        <w:t>.</w:t>
      </w:r>
      <w:proofErr w:type="gramEnd"/>
      <w:r w:rsidR="009972D4" w:rsidRPr="009972D4">
        <w:t xml:space="preserve"> </w:t>
      </w:r>
    </w:p>
    <w:p w:rsidR="00560DEB" w:rsidRPr="006B5274" w:rsidRDefault="00560DEB" w:rsidP="00357891">
      <w:r w:rsidRPr="00560DEB">
        <w:t xml:space="preserve">* E-mail: </w:t>
      </w:r>
      <w:hyperlink r:id="rId7" w:history="1">
        <w:r w:rsidRPr="00560DEB">
          <w:rPr>
            <w:rStyle w:val="Hyperlink"/>
            <w:rFonts w:cs="Times New Roman"/>
            <w:szCs w:val="24"/>
          </w:rPr>
          <w:t>hollister.jeff@epa.gov</w:t>
        </w:r>
      </w:hyperlink>
    </w:p>
    <w:p w:rsidR="00C50758" w:rsidRDefault="00C50758">
      <w:pPr>
        <w:spacing w:line="276" w:lineRule="auto"/>
        <w:rPr>
          <w:rFonts w:eastAsiaTheme="majorEastAsia" w:cs="Times New Roman"/>
          <w:b/>
          <w:bCs/>
          <w:sz w:val="28"/>
          <w:szCs w:val="28"/>
        </w:rPr>
      </w:pPr>
      <w:r>
        <w:rPr>
          <w:rFonts w:cs="Times New Roman"/>
        </w:rPr>
        <w:br w:type="page"/>
      </w:r>
    </w:p>
    <w:p w:rsidR="00560DEB" w:rsidRDefault="00560DEB" w:rsidP="00357891">
      <w:pPr>
        <w:pStyle w:val="Heading1"/>
        <w:rPr>
          <w:rFonts w:cs="Times New Roman"/>
        </w:rPr>
      </w:pPr>
      <w:r w:rsidRPr="00560DEB">
        <w:rPr>
          <w:rFonts w:cs="Times New Roman"/>
        </w:rPr>
        <w:lastRenderedPageBreak/>
        <w:t>Abstract</w:t>
      </w:r>
    </w:p>
    <w:p w:rsidR="00D94831" w:rsidRPr="00DE745B" w:rsidRDefault="00A82170" w:rsidP="00357891">
      <w:proofErr w:type="spellStart"/>
      <w:r>
        <w:t>Ch</w:t>
      </w:r>
      <w:r w:rsidR="00D94831">
        <w:t>lorphyll</w:t>
      </w:r>
      <w:proofErr w:type="spellEnd"/>
      <w:r w:rsidR="00D94831">
        <w:t xml:space="preserve"> </w:t>
      </w:r>
      <w:r w:rsidR="00D94831">
        <w:rPr>
          <w:i/>
        </w:rPr>
        <w:t>a</w:t>
      </w:r>
      <w:r w:rsidR="00F75094">
        <w:t xml:space="preserve"> (</w:t>
      </w:r>
      <w:proofErr w:type="spellStart"/>
      <w:r w:rsidR="00F75094">
        <w:t>Chl</w:t>
      </w:r>
      <w:proofErr w:type="spellEnd"/>
      <w:r w:rsidR="00F75094">
        <w:t xml:space="preserve"> </w:t>
      </w:r>
      <w:r w:rsidR="00F75094">
        <w:rPr>
          <w:i/>
        </w:rPr>
        <w:t>a</w:t>
      </w:r>
      <w:r w:rsidR="00F75094">
        <w:t>)</w:t>
      </w:r>
      <w:r w:rsidR="00D94831">
        <w:rPr>
          <w:i/>
        </w:rPr>
        <w:t xml:space="preserve"> </w:t>
      </w:r>
      <w:r w:rsidR="00D94831">
        <w:t xml:space="preserve">concentrations in lakes, ponds, and reservoirs are </w:t>
      </w:r>
      <w:r w:rsidR="000A4A8F">
        <w:t xml:space="preserve">strongly related to the </w:t>
      </w:r>
      <w:r w:rsidR="00D94831">
        <w:t>concentrations of nitrogen</w:t>
      </w:r>
      <w:r w:rsidR="00F75094">
        <w:t xml:space="preserve"> (N)</w:t>
      </w:r>
      <w:r w:rsidR="00D94831">
        <w:t xml:space="preserve"> and phosphorus</w:t>
      </w:r>
      <w:r w:rsidR="00F75094">
        <w:t xml:space="preserve"> (P)</w:t>
      </w:r>
      <w:r w:rsidR="00D94831">
        <w:t xml:space="preserve"> a</w:t>
      </w:r>
      <w:r w:rsidR="000A4A8F">
        <w:t>s well as</w:t>
      </w:r>
      <w:r w:rsidR="00D94831">
        <w:t xml:space="preserve"> the ratio</w:t>
      </w:r>
      <w:r w:rsidR="00F75094">
        <w:t xml:space="preserve"> (N/P)</w:t>
      </w:r>
      <w:r w:rsidR="00D94831">
        <w:t xml:space="preserve"> of these two nutrients.  Many research studies have developed models to predict </w:t>
      </w:r>
      <w:proofErr w:type="spellStart"/>
      <w:r w:rsidR="00F75094">
        <w:t>Chl</w:t>
      </w:r>
      <w:proofErr w:type="spellEnd"/>
      <w:r w:rsidR="00F75094">
        <w:t xml:space="preserve"> </w:t>
      </w:r>
      <w:proofErr w:type="gramStart"/>
      <w:r w:rsidR="00F75094">
        <w:rPr>
          <w:i/>
        </w:rPr>
        <w:t>a</w:t>
      </w:r>
      <w:r w:rsidR="00D94831">
        <w:rPr>
          <w:i/>
        </w:rPr>
        <w:t xml:space="preserve"> </w:t>
      </w:r>
      <w:r w:rsidR="00D94831">
        <w:t>from</w:t>
      </w:r>
      <w:proofErr w:type="gramEnd"/>
      <w:r w:rsidR="00D94831">
        <w:t xml:space="preserve"> the</w:t>
      </w:r>
      <w:r w:rsidR="000A4A8F">
        <w:t>se</w:t>
      </w:r>
      <w:r w:rsidR="00D94831">
        <w:t xml:space="preserve"> well-known relationships with these nutrients.</w:t>
      </w:r>
      <w:r w:rsidR="00D94831" w:rsidRPr="00D94831">
        <w:t xml:space="preserve"> </w:t>
      </w:r>
      <w:r w:rsidR="002C529A">
        <w:t xml:space="preserve">  Over time the thinking on whether</w:t>
      </w:r>
      <w:r w:rsidR="00F75094">
        <w:t xml:space="preserve"> </w:t>
      </w:r>
      <w:proofErr w:type="spellStart"/>
      <w:r w:rsidR="00F75094">
        <w:t>lentic</w:t>
      </w:r>
      <w:proofErr w:type="spellEnd"/>
      <w:r w:rsidR="00F75094">
        <w:t xml:space="preserve"> ecosystems were N</w:t>
      </w:r>
      <w:r w:rsidR="002C529A">
        <w:t xml:space="preserve"> </w:t>
      </w:r>
      <w:r w:rsidR="00F75094">
        <w:t xml:space="preserve">or P </w:t>
      </w:r>
      <w:r w:rsidR="002C529A">
        <w:t>li</w:t>
      </w:r>
      <w:r w:rsidR="00F75094">
        <w:t xml:space="preserve">mited has changed and the currently accepted thinking is that phytoplankton productivity is controlled by both N and P; however, the response to N, P, and N/P is not linear.  Many efforts to model </w:t>
      </w:r>
      <w:proofErr w:type="spellStart"/>
      <w:r w:rsidR="00F75094">
        <w:t>Chl</w:t>
      </w:r>
      <w:proofErr w:type="spellEnd"/>
      <w:r w:rsidR="00F75094">
        <w:t xml:space="preserve"> </w:t>
      </w:r>
      <w:proofErr w:type="gramStart"/>
      <w:r w:rsidR="00F75094">
        <w:rPr>
          <w:i/>
        </w:rPr>
        <w:t xml:space="preserve">a </w:t>
      </w:r>
      <w:r w:rsidR="00F75094">
        <w:t>from</w:t>
      </w:r>
      <w:proofErr w:type="gramEnd"/>
      <w:r w:rsidR="00F75094">
        <w:t xml:space="preserve"> N and P are linear or suffer from other limitations such as</w:t>
      </w:r>
      <w:r w:rsidR="00DE745B">
        <w:t xml:space="preserve"> a small sample size, or limited geographic extent.  To build on these past studies, we use data from the US EPA’s National Lakes Assessment and use </w:t>
      </w:r>
      <w:r w:rsidR="00FD272A">
        <w:t>principle components regression</w:t>
      </w:r>
      <w:r w:rsidR="00DE745B">
        <w:t xml:space="preserve"> to better account for the response of </w:t>
      </w:r>
      <w:proofErr w:type="spellStart"/>
      <w:r w:rsidR="00DE745B">
        <w:t>Chl</w:t>
      </w:r>
      <w:proofErr w:type="spellEnd"/>
      <w:r w:rsidR="00DE745B">
        <w:t xml:space="preserve"> </w:t>
      </w:r>
      <w:r w:rsidR="00DE745B">
        <w:rPr>
          <w:i/>
        </w:rPr>
        <w:t>a</w:t>
      </w:r>
      <w:r w:rsidR="00DE745B">
        <w:t xml:space="preserve"> </w:t>
      </w:r>
      <w:proofErr w:type="spellStart"/>
      <w:r w:rsidR="00DE745B">
        <w:t>to</w:t>
      </w:r>
      <w:proofErr w:type="spellEnd"/>
      <w:r w:rsidR="00DE745B">
        <w:t xml:space="preserve"> N, P and N/P.  We found </w:t>
      </w:r>
      <w:r w:rsidR="00871D88" w:rsidRPr="00C50758">
        <w:rPr>
          <w:highlight w:val="yellow"/>
        </w:rPr>
        <w:t>MORE STUFF HERE</w:t>
      </w:r>
      <w:r w:rsidR="00871D88">
        <w:t xml:space="preserve">.  </w:t>
      </w:r>
      <w:r w:rsidR="00DE745B">
        <w:t xml:space="preserve">Our models were able to predict </w:t>
      </w:r>
      <w:proofErr w:type="spellStart"/>
      <w:r w:rsidR="00DE745B">
        <w:t>Chl</w:t>
      </w:r>
      <w:proofErr w:type="spellEnd"/>
      <w:r w:rsidR="00DE745B">
        <w:t xml:space="preserve"> </w:t>
      </w:r>
      <w:r w:rsidR="00DE745B">
        <w:rPr>
          <w:i/>
        </w:rPr>
        <w:t>a</w:t>
      </w:r>
      <w:r w:rsidR="00871D88" w:rsidRPr="00871D88">
        <w:t xml:space="preserve"> </w:t>
      </w:r>
      <w:r w:rsidR="00871D88" w:rsidRPr="00C50758">
        <w:rPr>
          <w:highlight w:val="yellow"/>
        </w:rPr>
        <w:t>MORE STUFF HERE</w:t>
      </w:r>
      <w:r w:rsidR="00871D88">
        <w:t xml:space="preserve">.  </w:t>
      </w:r>
      <w:r w:rsidR="00C37913">
        <w:t>Models</w:t>
      </w:r>
      <w:r w:rsidR="00DE745B">
        <w:t xml:space="preserve"> that use N, P and N/P are simple to implement, improve on past efforts by accounting for the non-linear nature of the </w:t>
      </w:r>
      <w:proofErr w:type="spellStart"/>
      <w:r w:rsidR="00DE745B">
        <w:t>Chl</w:t>
      </w:r>
      <w:proofErr w:type="spellEnd"/>
      <w:r w:rsidR="00DE745B">
        <w:t xml:space="preserve"> </w:t>
      </w:r>
      <w:proofErr w:type="gramStart"/>
      <w:r w:rsidR="00DE745B">
        <w:rPr>
          <w:i/>
        </w:rPr>
        <w:t xml:space="preserve">a </w:t>
      </w:r>
      <w:r w:rsidR="00DE745B">
        <w:t xml:space="preserve"> response</w:t>
      </w:r>
      <w:proofErr w:type="gramEnd"/>
      <w:r w:rsidR="00DE745B">
        <w:t xml:space="preserve"> to N</w:t>
      </w:r>
      <w:r w:rsidR="00C37913">
        <w:t>,</w:t>
      </w:r>
      <w:r w:rsidR="00DE745B">
        <w:t xml:space="preserve"> P</w:t>
      </w:r>
      <w:r w:rsidR="00C37913">
        <w:t>, and N/P</w:t>
      </w:r>
      <w:r w:rsidR="00DE745B">
        <w:t xml:space="preserve">, and provide accurate estimates across many types of lakes, in many different geographic settings. </w:t>
      </w:r>
    </w:p>
    <w:p w:rsidR="00560DEB" w:rsidRDefault="00560DEB" w:rsidP="00357891">
      <w:pPr>
        <w:pStyle w:val="Heading1"/>
      </w:pPr>
      <w:r w:rsidRPr="00560DEB">
        <w:t>Introduction</w:t>
      </w:r>
    </w:p>
    <w:p w:rsidR="00C03E46" w:rsidRDefault="00052197" w:rsidP="00357891">
      <w:r>
        <w:tab/>
      </w:r>
      <w:proofErr w:type="spellStart"/>
      <w:r>
        <w:t>Chlorohpyll</w:t>
      </w:r>
      <w:proofErr w:type="spellEnd"/>
      <w:r>
        <w:t xml:space="preserve"> </w:t>
      </w:r>
      <w:r>
        <w:rPr>
          <w:i/>
        </w:rPr>
        <w:t xml:space="preserve">a </w:t>
      </w:r>
      <w:r>
        <w:t>(</w:t>
      </w:r>
      <w:proofErr w:type="spellStart"/>
      <w:r>
        <w:t>Chl</w:t>
      </w:r>
      <w:proofErr w:type="spellEnd"/>
      <w:r>
        <w:t xml:space="preserve"> </w:t>
      </w:r>
      <w:r>
        <w:rPr>
          <w:i/>
        </w:rPr>
        <w:t xml:space="preserve">a) </w:t>
      </w:r>
      <w:r>
        <w:t xml:space="preserve">is an oft used indicator of phytoplankton abundance and provides significant information about the </w:t>
      </w:r>
      <w:proofErr w:type="spellStart"/>
      <w:r>
        <w:t>trophic</w:t>
      </w:r>
      <w:proofErr w:type="spellEnd"/>
      <w:r>
        <w:t xml:space="preserve"> status of </w:t>
      </w:r>
      <w:proofErr w:type="spellStart"/>
      <w:r>
        <w:t>lentic</w:t>
      </w:r>
      <w:proofErr w:type="spellEnd"/>
      <w:r>
        <w:t xml:space="preserve"> ecosystems, the possible presence of harmful algae, the overall health of the system, and the delivery and availability of </w:t>
      </w:r>
      <w:r w:rsidR="00706C4B">
        <w:t xml:space="preserve">lake ecosystem services </w:t>
      </w:r>
      <w:r w:rsidR="00CA6A1E">
        <w:fldChar w:fldCharType="begin"/>
      </w:r>
      <w:r w:rsidR="00C11DD0">
        <w:instrText xml:space="preserve"> ADDIN ZOTERO_ITEM CSL_CITATION {"citationID":"23abtfsq5m","properties":{"formattedCitation":"(Hambrook Berkman and Canova, 2007)","plainCitation":"(Hambrook Berkman and Canova, 2007)"},"citationItems":[{"id":206,"uris":["http://zotero.org/groups/176403/items/48IQTU6N"],"uri":["http://zotero.org/groups/176403/items/48IQTU6N"],"itemData":{"id":206,"type":"report","title":"Algal biomass indicators (ver. 1.0): U.S. Geological Survey Techniques of Water-Resources Investigations, book 9, chap. A7, section 7.4,","URL":"http://pubs.water.usgs.gov/twri9A/","author":[{"family":"Hambrook Berkman","given":"JA"},{"family":"Canova","given":"MG"}],"issued":{"date-parts":[["2007"]]},"accessed":{"date-parts":[["2013",6,25]]}}}],"schema":"https://github.com/citation-style-language/schema/raw/master/csl-citation.json"} </w:instrText>
      </w:r>
      <w:r w:rsidR="00CA6A1E">
        <w:fldChar w:fldCharType="separate"/>
      </w:r>
      <w:r w:rsidR="00C11DD0" w:rsidRPr="00C11DD0">
        <w:rPr>
          <w:rFonts w:cs="Times New Roman"/>
        </w:rPr>
        <w:t>(Hambrook Berkman and Canova, 2007)</w:t>
      </w:r>
      <w:r w:rsidR="00CA6A1E">
        <w:fldChar w:fldCharType="end"/>
      </w:r>
      <w:r>
        <w:t xml:space="preserve">.  This richness of information available from estimates of </w:t>
      </w:r>
      <w:proofErr w:type="spellStart"/>
      <w:r>
        <w:t>Chl</w:t>
      </w:r>
      <w:proofErr w:type="spellEnd"/>
      <w:r>
        <w:t xml:space="preserve"> </w:t>
      </w:r>
      <w:r>
        <w:rPr>
          <w:i/>
        </w:rPr>
        <w:t>a</w:t>
      </w:r>
      <w:r>
        <w:t xml:space="preserve">  make it a primary focus of many </w:t>
      </w:r>
      <w:proofErr w:type="spellStart"/>
      <w:r>
        <w:t>limnological</w:t>
      </w:r>
      <w:proofErr w:type="spellEnd"/>
      <w:r>
        <w:t xml:space="preserve"> studies</w:t>
      </w:r>
      <w:r w:rsidR="001B2878">
        <w:t xml:space="preserve"> and the ability to accurately model </w:t>
      </w:r>
      <w:proofErr w:type="spellStart"/>
      <w:r w:rsidR="001B2878">
        <w:t>Chl</w:t>
      </w:r>
      <w:proofErr w:type="spellEnd"/>
      <w:r w:rsidR="001B2878">
        <w:t xml:space="preserve"> </w:t>
      </w:r>
      <w:r w:rsidR="001B2878">
        <w:rPr>
          <w:i/>
        </w:rPr>
        <w:t xml:space="preserve">a </w:t>
      </w:r>
      <w:r w:rsidR="001B2878">
        <w:t>has received significant attention in the literature</w:t>
      </w:r>
      <w:r w:rsidR="008E1810">
        <w:t xml:space="preserve"> </w:t>
      </w:r>
      <w:r w:rsidR="00CA6A1E">
        <w:fldChar w:fldCharType="begin"/>
      </w:r>
      <w:r w:rsidR="00C11DD0">
        <w:instrText xml:space="preserve"> ADDIN ZOTERO_ITEM CSL_CITATION {"citationID":"mq7mfjuh8","properties":{"formattedCitation":"(Crowley et al., 2012; Dillon and Rigler, 1974; Dimberg et al., 2013; Elser et al., 1990, 2007; Prairie et al., 1989; Schindler, 1977; Stow and Cha, 2013)","plainCitation":"(Crowley et al., 2012; Dillon and Rigler, 1974; Dimberg et al., 2013; Elser et al., 1990, 2007; Prairie et al., 1989; Schindler, 1977; Stow and Cha, 2013)"},"citationItems":[{"id":121,"uris":["http://zotero.org/groups/176403/items/77E993EA"],"uri":["http://zotero.org/groups/176403/items/77E993EA"],"itemData":{"id":121,"type":"article-journal","title":"Do Nutrient Limitation Patterns Shift from Nitrogen Toward Phosphorus with Increasing Nitrogen Deposition Across the Northeastern United States?","container-title":"Ecosystems","page":"940-957","volume":"15","issue":"6","source":"link.springer.com","abstract":"Atmospheric nitrogen (N) deposition is altering biogeochemical cycling in forests and interconnected lakes of the northeastern US, and may shift nutrient limitation from N toward other essential elements, such as phosphorus (P). Whether this shift is occurring relative to N deposition gradients across the northeastern US has not been investigated. We used datasets for the northeastern US and the Adirondack sub-region to evaluate whether P limitation is increasing where N deposition is high at two geographic scales, based on N:P mass ratios. Using a model-selection approach, we determined that foliar N for dominant tree species and lake dissolved inorganic N (DIN) increased coincident with increasing N deposition, independent of relationships between foliar N or lake DIN and precipitation or temperature. Foliar P also increased with N deposition across the northeastern US for seven of eight deciduous species, but changed less across the Adirondacks. Foliar N:P therefore declined at the highest levels of N deposition for most deciduous species across the region (remaining nearly constant for most conifers and increasing only for black cherry and hemlock), but increased across all species in the Adirondacks. Ratios between DIN and total P (DIN:TP) in lakes were unrelated to N deposition regionally but increased across the Adirondacks. Thus, nutrient limitation patterns shifted from N toward P for dominant trees, and further toward P for predominantly P-limited lakes, at the sub-regional but not regional scale. For the northeastern US overall, accumulated N deposition may be insufficient to drive nutrient limitation from N toward P; alternatively, elements other than P (for example, calcium, magnesium) may become limiting as N accumulates. The consistent Adirondack foliar and lake response could provide early indication of shifts toward P limitation within the northeastern US, and together with regional patterns, suggests that foliar chemistry could be a predictor of lake chemistry in the context of N deposition across the region.","DOI":"10.1007/s10021-012-9550-2","ISSN":"1432-9840, 1435-0629","journalAbbreviation":"Ecosystems","language":"en","author":[{"family":"Crowley","given":"K. F."},{"family":"McNeil","given":"B. E."},{"family":"Lovett","given":"G. M."},{"family":"Canham","given":"C. D."},{"family":"Driscoll","given":"C. T."},{"family":"Rustad","given":"L. E."},{"family":"Denny","given":"E."},{"family":"Hallett","given":"R. A."},{"family":"Arthur","given":"M. A."},{"family":"Boggs","given":"J. L."},{"family":"Goodale","given":"C. L."},{"family":"Kahl","given":"J. S."},{"family":"McNulty","given":"S. G."},{"family":"Ollinger","given":"S. V."},{"family":"Pardo","given":"L. H."},{"family":"Schaberg","given":"P. G."},{"family":"Stoddard","given":"J. L."},{"family":"Weand","given":"M. P."},{"family":"Weathers","given":"K. C."}],"issued":{"date-parts":[["2012",9,1]]},"accessed":{"date-parts":[["2013",6,21]]}}},{"id":169,"uris":["http://zotero.org/groups/176403/items/TB45U9US"],"uri":["http://zotero.org/groups/176403/items/TB45U9US"],"itemData":{"id":169,"type":"article-journal","title":"The phosphorus-chlorophyll relationship in lakes","container-title":"Limnol. Oceanogr","page":"767–773","volume":"19","issue":"5","source":"Google Scholar","author":[{"family":"Dillon","given":"P. J."},{"family":"Rigler","given":"F. H."}],"issued":{"date-parts":[["1974"]]},"accessed":{"date-parts":[["2013",6,25]]}}},{"id":147,"uris":["http://zotero.org/groups/176403/items/T6KZDXGX"],"uri":["http://zotero.org/groups/176403/items/T6KZDXGX"],"itemData":{"id":147,"type":"article-journal","title":"Predicting median monthly chlorophyll-a concentrations","container-title":"Limnologica - Ecology and Management of Inland Waters","page":"169-176","volume":"43","issue":"3","source":"ScienceDirect","abstract":"Chlorophyll-a (Chl-a) is a plant pigment which is used in many environmental monitoring programs as a water quality indicator for lakes. However, monthly Chl-a data are often lacking in many monitored lakes as measurements are concentrated to certain periods of the year. This study investigates two methods of how monthly Chl-a medians can be predicted (i) new monthly regression models from median summer total phosphorus concentrations and latitude, (ii) and with monthly constants added to regression models from the literature. Data from 308 lakes were used and the trophic status of the lakes ranged from oligotrophic to hypertrophic, they were located from northern Sweden (Europe) to southern Florida (North America). These models may be useful for understanding the general Chl-a seasonality in lakes and for managing lakes in which Chl-a measurements are not made over the whole year.","DOI":"10.1016/j.limno.2012.08.011","ISSN":"0075-9511","journalAbbreviation":"Limnologica - Ecology and Management of Inland Waters","author":[{"family":"Dimberg","given":"Peter H."},{"family":"Hytteborn","given":"Julia K."},{"family":"Bryhn","given":"Andreas C."}],"issued":{"date-parts":[["2013",5]]},"accessed":{"date-parts":[["2013",6,24]]}}},{"id":140,"uris":["http://zotero.org/groups/176403/items/RNR6EJFW"],"uri":["http://zotero.org/groups/176403/items/RNR6EJFW"],"itemData":{"id":140,"type":"article-journal","title":"Phosphorus and Nitrogen Limitation of Phytoplankton Growth in the Freshwaters of North America: A Review and Critique of Experimental Enrichments","container-title":"Canadian Journal of Fisheries and Aquatic Sciences","page":"1468-1477","volume":"47","issue":"7","source":"NRC Research Press","abstract":"While phosphorus is generally considered to be the primary nutrient limiting algal growth in lakes, limitation of algal growth by nitrogen has been observed in freshwater. It is also commonly observed that the most pronounced phytoplankton responses to enrichment occur when both N and P are added together. This led us to re-evaluate nitrogen's status as a secondary nutrient in freshwater through a systematic literature search. In our survey of enrichment bioassays, we found considerable deficiencies in the degree to which investigators have applied sufficient replication, performed and reported statistical tests, and assessed seasonal and spatial differences in algal nutrient limitation. Given these limitations, however, we found that combined N + P enrichment enhanced algal growth much more frequently and more substantially than did addition of N or P singly. On average, the frequency and degree of algal response did not differ for P vs. N enrichment. From our review of whole-lake fertilizations, we conc..., Bien que le phosphore soit considéré en général comme le principal élément nutritif limitant la croissance des algues dans les lacs, on a remarqué que l'azote limitait la croissance des algues dans les eaux douces. On a observé généralement aussi que les réactions les plus marquées du phytoplancton à l'enrichissement se produisent lorsque l'azote (N) et le phosphore (P) sont ajoutés ensemble. Suite à ces observations, nous avons réévalué l'état de l'azote comme élément nutritif secondaire en eau douce par le biais d'une recherche systématique dans la littérature. Dans le cadre de nos études sur les essais biologiques d'enrichissement, nous avons relevé des lacunes importantes au niveau du nombre de répétitions des essais effectuées par les chercheurs, des épreuves statistiques effectuées et de la déclaration des résultats, et de l'évaluation des écarts saisonniers et spatiaux au niveau de la limitation des éléments nutritifs des algues. Compte tenu de ces limites, toutefois, nous avons observé qu'un enric...","DOI":"10.1139/f90-165","ISSN":"0706-652X","shortTitle":"Phosphorus and Nitrogen Limitation of Phytoplankton Growth in the Freshwaters of North America","journalAbbreviation":"Can. J. Fish. Aquat. Sci.","author":[{"family":"Elser","given":"James J."},{"family":"Marzolf","given":"Erich R."},{"family":"Goldman","given":"Charles R."}],"issued":{"date-parts":[["1990",7,1]]},"accessed":{"date-parts":[["2013",6,21]]}}},{"id":131,"uris":["http://zotero.org/groups/176403/items/6Z4WRIZZ"],"uri":["http://zotero.org/groups/176403/items/6Z4WRIZZ"],"itemData":{"id":131,"type":"article-journal","title":"Global analysis of nitrogen and phosphorus limitation of primary producers in freshwater, marine and terrestrial ecosystems","container-title":"Ecology Letters","page":"1135–1142","volume":"10","issue":"12","source":"Wiley Online Library","abstract":"The cycles of the key nutrient elements nitrogen (N) and phosphorus (P) have been massively altered by anthropogenic activities. Thus, it is essential to understand how photosynthetic production across diverse ecosystems is, or is not, limited by N and P. Via a large-scale meta-analysis of experimental enrichments, we show that P limitation is equally strong across these major habitats and that N and P limitation are equivalent within both terrestrial and freshwater systems. Furthermore, simultaneous N and P enrichment produces strongly positive synergistic responses in all three environments. Thus, contrary to some prevailing paradigms, freshwater, marine and terrestrial ecosystems are surprisingly similar in terms of N and P limitation.","DOI":"10.1111/j.1461-0248.2007.01113.x","ISSN":"1461-0248","language":"en","author":[{"family":"Elser","given":"James J."},{"family":"Bracken","given":"Matthew E.S."},{"family":"Cleland","given":"Elsa E."},{"family":"Gruner","given":"Daniel S."},{"family":"Harpole","given":"W. Stanley"},{"family":"Hillebrand","given":"Helmut"},{"family":"Ngai","given":"Jacqueline T."},{"family":"Seabloom","given":"Eric W."},{"family":"Shurin","given":"Jonathan B."},{"family":"Smith","given":"Jennifer E."}],"issued":{"date-parts":[["2007"]]},"accessed":{"date-parts":[["2013",6,21]]}}},{"id":101,"uris":["http://zotero.org/groups/176403/items/JWIWZPR7"],"uri":["http://zotero.org/groups/176403/items/JWIWZPR7"],"itemData":{"id":101,"type":"article-journal","title":"Unifying Nutrient–Chlorophyll Relationships in Lakes","container-title":"Canadian Journal of Fisheries and Aquatic Sciences","page":"1176-1182","volume":"46","issue":"7","source":"NRC Research Press","abstract":"We used data drawn from the literature to test some basic predictions derived from nutrient limitation theory. Contrary to expectation, nitrogen was not better correlated to chlorophyll in nitrogen limited lakes (as measured by the total nitrogen:total phosphorus (TN:TP) ratio). We also examined whether the variability in published relationships between chlorophyll a (Chla) and nutrient levels in lakes can be explained by differences in the relative concentrations of nitrogen and phosphorus (TN:TP ratio). Our results show that the coefficients and precision of the Chla = f(TP) and Chla = f(TN) regression equations vary systematically and concomitantly with TN:TP ratios, and are highest for lakes with TN:TP ratios of 23–28 (by weight). These findings were confirmed with independent data and explain the variability of published Chla = f(TP) relationships. We propose a model that predicts the coefficients of Chla = f(TP) and Chla = f(TN) equations for lakes with different TN:TP ratios. This model proved usef..., Nous nous sommes servis de données tirées des ouvrages scientifiques pour vérifier certaines prévisions de base découlant de la théorie de la limitation par les substances nutritives. Contrairement à ce qu'on s'attendait, la corrélation entre l'azote et la chlorophylle n'a pas été meilleure dans les lacs où l'azote est limitée (telle que mesurée par le rapport AT : PT). Nous avons également vérifié si la variabilité observée dans les relations connues entre la chlorophylle a (Chla) et la teneur en substances nutritives dans les lacs peut être expliquée par les différences notées dans les concentrations relatives de l'azote et du phosphore (rapport AT : PT). Nos résultats montrent que les coefficients et la précision des équations de régression Chla = f(PT) et Chla = f(AT) varient de façon systématique et en fonction des rapports AT : PT et sont les plus élevés dans le cas des lacs où les rapports AT : PT varient de 23 à 28 (par poids). Ces conclusions ont été confirmées avec des données indépendantes et e...","DOI":"10.1139/f89-153","ISSN":"0706-652X","journalAbbreviation":"Can. J. Fish. Aquat. Sci.","author":[{"family":"Prairie","given":"Yves T."},{"family":"Duarte","given":"Carlos M."},{"family":"Kalff","given":"Jacob"}],"issued":{"date-parts":[["1989",7,1]]},"accessed":{"date-parts":[["2013",6,20]]}}},{"id":118,"uris":["http://zotero.org/groups/176403/items/U9FCFF5F"],"uri":["http://zotero.org/groups/176403/items/U9FCFF5F"],"itemData":{"id":118,"type":"article-journal","title":"Evolution of phosphorus limitation in lakes","container-title":"Science","page":"260–262","volume":"195","issue":"4275","source":"Google Scholar","author":[{"family":"Schindler","given":"D. W."}],"issued":{"date-parts":[["1977"]]},"accessed":{"date-parts":[["2013",6,20]]}}},{"id":149,"uris":["http://zotero.org/groups/176403/items/ZR8JHJ2N"],"uri":["http://zotero.org/groups/176403/items/ZR8JHJ2N"],"itemData":{"id":149,"type":"article-journal","title":"Are Chlorophyll a–Total Phosphorus Correlations Useful for Inference and Prediction?","container-title":"Environmental Science &amp; Technology","page":"3768-3773","volume":"47","issue":"8","source":"ACS Publications","abstract":"Correlations between chlorophyll a and total phosphorus in freshwater ecosystems were first documented in the 1960s and have been used since then to infer phosphorus limitation, build simple models, and develop management targets. Often these correlations are considered indicative of a cause?effect relationship. However, many scientists regard the use of these associations for modeling and inference to be misleading due to their potentially spurious nature. Using data from Saginaw Bay, Lake Huron, we examine the relationship among chlorophyll a, total phosphorus, and algal biomass measurements. We apply graphical models and recently developed ?structure learning? principles that use conditional dependencies to help identify causal relationships among observational data. The spurious relationship suspected by some is not supported by our data, whereas a direct relationship between chlorophyll a and total phosphorus is always supported, and an additional indirect relationship with an algal biomass intermediary is plausible under some circumstances. Thus, we conclude that these correlations are useful for simple model building but encourage the use of modern statistical methods to avoid common model-assumption violations.","DOI":"10.1021/es304997p","ISSN":"0013-936X","journalAbbreviation":"Environ. Sci. Technol.","author":[{"family":"Stow","given":"Craig A."},{"family":"Cha","given":"YoonKyung"}],"issued":{"date-parts":[["2013",4,16]]},"accessed":{"date-parts":[["2013",6,24]]}}}],"schema":"https://github.com/citation-style-language/schema/raw/master/csl-citation.json"} </w:instrText>
      </w:r>
      <w:r w:rsidR="00CA6A1E">
        <w:fldChar w:fldCharType="separate"/>
      </w:r>
      <w:r w:rsidR="00C11DD0" w:rsidRPr="00C11DD0">
        <w:rPr>
          <w:rFonts w:cs="Times New Roman"/>
        </w:rPr>
        <w:t xml:space="preserve">(Crowley et </w:t>
      </w:r>
      <w:r w:rsidR="00C11DD0" w:rsidRPr="00C11DD0">
        <w:rPr>
          <w:rFonts w:cs="Times New Roman"/>
        </w:rPr>
        <w:lastRenderedPageBreak/>
        <w:t>al., 2012; Dillon and Rigler, 1974; Dimberg et al., 2013; Elser et al., 1990, 2007; Prairie et al., 1989; Schindler, 1977; Stow and Cha, 2013)</w:t>
      </w:r>
      <w:r w:rsidR="00CA6A1E">
        <w:fldChar w:fldCharType="end"/>
      </w:r>
      <w:r w:rsidR="001B2878">
        <w:t xml:space="preserve">.  </w:t>
      </w:r>
      <w:r w:rsidR="008E1810">
        <w:t>Many factors determine</w:t>
      </w:r>
      <w:r w:rsidR="001B2878">
        <w:t xml:space="preserve"> </w:t>
      </w:r>
      <w:proofErr w:type="spellStart"/>
      <w:r w:rsidR="001B2878">
        <w:t>Chl</w:t>
      </w:r>
      <w:proofErr w:type="spellEnd"/>
      <w:r w:rsidR="001B2878">
        <w:t xml:space="preserve"> </w:t>
      </w:r>
      <w:r w:rsidR="001B2878">
        <w:rPr>
          <w:i/>
        </w:rPr>
        <w:t xml:space="preserve">a </w:t>
      </w:r>
      <w:r w:rsidR="001B2878">
        <w:t xml:space="preserve"> concentration</w:t>
      </w:r>
      <w:r w:rsidR="008E1810">
        <w:t xml:space="preserve"> in lakes and include the following: </w:t>
      </w:r>
      <w:r w:rsidR="001B2878">
        <w:t>the concentration of nutrients, in particular, Total Nitrogen (TN) and Total Phosphorus (TP)</w:t>
      </w:r>
      <w:r w:rsidR="008E1810">
        <w:t xml:space="preserve">, carbon, light availability, </w:t>
      </w:r>
      <w:proofErr w:type="spellStart"/>
      <w:r w:rsidR="008E1810">
        <w:t>planktivorus</w:t>
      </w:r>
      <w:proofErr w:type="spellEnd"/>
      <w:r w:rsidR="008E1810">
        <w:t xml:space="preserve"> zooplankton and fish, and temperature</w:t>
      </w:r>
      <w:r w:rsidR="005867B9">
        <w:t xml:space="preserve"> </w:t>
      </w:r>
      <w:r w:rsidR="00CA6A1E">
        <w:fldChar w:fldCharType="begin"/>
      </w:r>
      <w:r w:rsidR="00C11DD0">
        <w:instrText xml:space="preserve"> ADDIN ZOTERO_ITEM CSL_CITATION {"citationID":"1hqmn1ukld","properties":{"formattedCitation":"(Kaiser et al., 1994; Maberly et al., 2002)","plainCitation":"(Kaiser et al., 1994; Maberly et al., 2002)"},"citationItems":[{"id":137,"uris":["http://zotero.org/groups/176403/items/TA3E8H47"],"uri":["http://zotero.org/groups/176403/items/TA3E8H47"],"itemData":{"id":137,"type":"article-journal","title":"Nutrient limitation of phytoplankton and periphyton growth in upland lakes","container-title":"Freshwater Biology","page":"2136–2152","volume":"47","issue":"11","source":"Wiley Online Library","abstract":"SUMMARY 1. Thirty small upland lakes in Cumbria, Wales, Scotland and Northern Ireland were visited three times between April and August 2000. On each occasion water chemistry was measured and phytoplankton bioassays were performed in the laboratory to assess growth-rate and yield limitation by phosphorus and nitrogen. In addition, yield limitation of periphyton growth was investigated twice, in situ, using nutrient-diffusing substrata.2. Over the whole season the percentage frequency of P, N and co-limitation was 24, 13 and 63%, respectively, for phytoplankton rate limitation and 20, 22 and 58%, respectively, for phytoplankton yield limitation.3. A clear response of periphyton yield to nutrient additions was found in 75% of all cases and of these, co-limitation was most common (54%). Average percentage frequency for P and N limitation was 26 and 20%, respectively.4. Phytoplankton and periphyton showed seasonal changes in nutrient limitation within sites. In particular, co-limitation became progressively more common as the season progressed.5. The response of phytoplankton growth rate to ammonium and nitrate addition was identical, but ammonium was a slightly better source of nitrogen than nitrate for phytoplankton yield on 7% and for periphyton yield on 10% of the occasions. However, the magnitude of the effect was small.6. The concentration of dissolved inorganic nitrogen (DIN) and the molar ratio of DIN to total dissolved phosphorus (TDP), appeared to be the main environmental factors controlling the extent of nitrogen or phosphorus limitation at a given site. Nitrogen limitation was more likely than phosphorus limitation where the DIN was &lt;6.5 mmol m−3 and the ratio of DIN : TDP was &lt;53. Co-limitation was the most likely outcome at a DIN concentration &lt;13 mmol m−3 and at a DIN : TDP molar ratio &lt;250. Above these values phosphorus limitation was most likely.7. The relatively high frequency of nitrogen limitation and co-limitation at higher N : P ratios than previously reported, may result from the inability of nitrogen-fixing cyanobacteria to thrive in these upland lakes where pH and the concentration of phosphorus tended to be low and where flushing rates tended to be high.","DOI":"10.1046/j.1365-2427.2002.00962.x","ISSN":"1365-2427","language":"en","author":[{"family":"Maberly","given":"S. C."},{"family":"King","given":"L."},{"family":"Dent","given":"M. M."},{"family":"Jones","given":"R. I."},{"family":"Gibson","given":"C. E."}],"issued":{"date-parts":[["2002"]]},"accessed":{"date-parts":[["2013",6,21]]}}},{"id":162,"uris":["http://zotero.org/groups/176403/items/3EEF87P4"],"uri":["http://zotero.org/groups/176403/items/3EEF87P4"],"itemData":{"id":162,"type":"article-journal","title":"Statistical Models for Limiting Nutrient Relations in Inland Waters","container-title":"Journal of the American Statistical Association","page":"410-423","volume":"89","issue":"426","source":"Taylor and Francis+NEJM","abstract":"Abstract The ecological theory of limiting factors holds that the observed level of response in a biological process will be governed by the input factor in least supply—the limiting factor. This theory has formed the basis for numerous attempts by aquatic ecologists to describe the relation between the biological productivity of inland waters and the availability of plant nutrients required for algal growth. Regression analysis has been the primary statistical tool used in the development of such relations, yet any statistical model that represents the limiting effect of some explanatory factor as an expectation contradicts the substantive theory of limiting factors. Limnological data not resulting in an adequate regression of chlorophyll on phosphorus have been viewed as failing to support the limiting effect of this nutrient on algal biomass in lakes. But when represented by a more appropriate model, such data may be seen to provide similar evidence for the relation of chlorophyll to phosphorus as does data resulting in a strong regression. Data from limnological studies often exhibit a scatter of points distributed in the shape of a triangle lying beneath an upper boundary. Appropriate models for such data are introduced to describe the upper boundary or potential limit, the distribution of points falling below the limit, and the degree of random error. An application of the EM algorithm provides marginal maximum likelihood estimates of the parameters in the more complex models considered. Several results are given for the models, including a goodness-of-fit diagnostic and estimation of the large-sample parameter covariance matrix. Application of the models is illustrated by fitting empirical relationships between chlorophyll and the plant nutrient phosphorus in temperate lakes.","DOI":"10.1080/01621459.1994.10476763","ISSN":"0162-1459","author":[{"family":"Kaiser","given":"Mark S."},{"family":"Speckman","given":"Paul L."},{"family":"Jones","given":"John R."}],"issued":{"date-parts":[["1994"]]},"accessed":{"date-parts":[["2013",6,24]]}}}],"schema":"https://github.com/citation-style-language/schema/raw/master/csl-citation.json"} </w:instrText>
      </w:r>
      <w:r w:rsidR="00CA6A1E">
        <w:fldChar w:fldCharType="separate"/>
      </w:r>
      <w:r w:rsidR="00C11DD0" w:rsidRPr="00C11DD0">
        <w:rPr>
          <w:rFonts w:cs="Times New Roman"/>
        </w:rPr>
        <w:t>(Kaiser et al., 1994; Maberly et al., 2002)</w:t>
      </w:r>
      <w:r w:rsidR="00CA6A1E">
        <w:fldChar w:fldCharType="end"/>
      </w:r>
      <w:r w:rsidR="001B2878">
        <w:t>.</w:t>
      </w:r>
      <w:r w:rsidR="008E1810">
        <w:t xml:space="preserve">  </w:t>
      </w:r>
    </w:p>
    <w:p w:rsidR="001B2878" w:rsidRDefault="00C03E46" w:rsidP="00357891">
      <w:r>
        <w:tab/>
        <w:t xml:space="preserve">It was long believed that </w:t>
      </w:r>
      <w:proofErr w:type="spellStart"/>
      <w:r>
        <w:t>lentic</w:t>
      </w:r>
      <w:proofErr w:type="spellEnd"/>
      <w:r>
        <w:t xml:space="preserve"> systems were phosphorus limited and that phosphorus was the primary determinant of phytoplankton abundance; however in recent years that supposition has been challenged by several studies </w:t>
      </w:r>
      <w:r w:rsidR="00CA6A1E">
        <w:fldChar w:fldCharType="begin"/>
      </w:r>
      <w:r w:rsidR="00C11DD0">
        <w:instrText xml:space="preserve"> ADDIN ZOTERO_ITEM CSL_CITATION {"citationID":"2llhouks3u","properties":{"formattedCitation":"(Dzialowski et al., 2005; Maberly et al., 2002)","plainCitation":"(Dzialowski et al., 2005; Maberly et al., 2002)"},"citationItems":[{"id":137,"uris":["http://zotero.org/groups/176403/items/TA3E8H47"],"uri":["http://zotero.org/groups/176403/items/TA3E8H47"],"itemData":{"id":137,"type":"article-journal","title":"Nutrient limitation of phytoplankton and periphyton growth in upland lakes","container-title":"Freshwater Biology","page":"2136–2152","volume":"47","issue":"11","source":"Wiley Online Library","abstract":"SUMMARY 1. Thirty small upland lakes in Cumbria, Wales, Scotland and Northern Ireland were visited three times between April and August 2000. On each occasion water chemistry was measured and phytoplankton bioassays were performed in the laboratory to assess growth-rate and yield limitation by phosphorus and nitrogen. In addition, yield limitation of periphyton growth was investigated twice, in situ, using nutrient-diffusing substrata.2. Over the whole season the percentage frequency of P, N and co-limitation was 24, 13 and 63%, respectively, for phytoplankton rate limitation and 20, 22 and 58%, respectively, for phytoplankton yield limitation.3. A clear response of periphyton yield to nutrient additions was found in 75% of all cases and of these, co-limitation was most common (54%). Average percentage frequency for P and N limitation was 26 and 20%, respectively.4. Phytoplankton and periphyton showed seasonal changes in nutrient limitation within sites. In particular, co-limitation became progressively more common as the season progressed.5. The response of phytoplankton growth rate to ammonium and nitrate addition was identical, but ammonium was a slightly better source of nitrogen than nitrate for phytoplankton yield on 7% and for periphyton yield on 10% of the occasions. However, the magnitude of the effect was small.6. The concentration of dissolved inorganic nitrogen (DIN) and the molar ratio of DIN to total dissolved phosphorus (TDP), appeared to be the main environmental factors controlling the extent of nitrogen or phosphorus limitation at a given site. Nitrogen limitation was more likely than phosphorus limitation where the DIN was &lt;6.5 mmol m−3 and the ratio of DIN : TDP was &lt;53. Co-limitation was the most likely outcome at a DIN concentration &lt;13 mmol m−3 and at a DIN : TDP molar ratio &lt;250. Above these values phosphorus limitation was most likely.7. The relatively high frequency of nitrogen limitation and co-limitation at higher N : P ratios than previously reported, may result from the inability of nitrogen-fixing cyanobacteria to thrive in these upland lakes where pH and the concentration of phosphorus tended to be low and where flushing rates tended to be high.","DOI":"10.1046/j.1365-2427.2002.00962.x","ISSN":"1365-2427","language":"en","author":[{"family":"Maberly","given":"S. C."},{"family":"King","given":"L."},{"family":"Dent","given":"M. M."},{"family":"Jones","given":"R. I."},{"family":"Gibson","given":"C. E."}],"issued":{"date-parts":[["2002"]]},"accessed":{"date-parts":[["2013",6,21]]}}},{"id":134,"uris":["http://zotero.org/groups/176403/items/XFJJX6F9"],"uri":["http://zotero.org/groups/176403/items/XFJJX6F9"],"itemData":{"id":134,"type":"article-journal","title":"Nutrient limitation of phytoplankton growth in central plains reservoirs, USA","container-title":"Journal of Plankton Research","page":"587-595","volume":"27","issue":"6","source":"plankt.oxfordjournals.org","abstract":"Historically, phosphorus has been considered to be the primary nutrient limiting phytoplankton growth in freshwater ecosystems. We tested this hypothesis in 19 Kansas reservoirs located within the Central Plains region, USA. Bioassay experiments were conducted to assess growth-rate limitation by nitrogen (N), phosphorus (P) and nitrogen and phosphorus (N and P). The addition of P alone rarely increased phytoplankton growth with only 8% of the total bioassay experiments indicating P-limitation. In contrast, limitation by N (16%) and co-limitation by N and P (63%) were more commonly observed. Results from the bioassay experiments were also used to test the hypothesis that nutrient limitation could be inferred from the water column total nitrogen : total phosphorus (TN : TP) ratio. We found that there was a classification range of TN : TP ratios that correctly predicted nutrient limitation in the majority of reservoirs. Generally, reservoirs that were N limited had water column TN : TP ratios &lt;18 (molar); reservoirs that were co-limited by N and P had water column TN : TP ratios between 20 and 46; and reservoirs that were P limited had water column TN : TP ratios &gt;65. Overall, these results suggest that management efforts should focus on both N and P decreases to control phytoplankton growth. Furthermore, the water column TN : TP ratio can be an effective tool for assessing potential nutrient limitation in the Central Plains region using the TN : TP classification values provided above.","DOI":"10.1093/plankt/fbi034","ISSN":"0142-7873, 1464-3774","journalAbbreviation":"J. Plankton Res.","language":"en","author":[{"family":"Dzialowski","given":"Andrew R."},{"family":"Wang","given":"Shih-Hsien"},{"family":"Lim","given":"Niang-Choo"},{"family":"Spotts","given":"William W."},{"family":"Huggins","given":"Donald G."}],"issued":{"date-parts":[["2005",6,1]]},"accessed":{"date-parts":[["2013",6,21]]}}}],"schema":"https://github.com/citation-style-language/schema/raw/master/csl-citation.json"} </w:instrText>
      </w:r>
      <w:r w:rsidR="00CA6A1E">
        <w:fldChar w:fldCharType="separate"/>
      </w:r>
      <w:r w:rsidR="00C11DD0" w:rsidRPr="00C11DD0">
        <w:rPr>
          <w:rFonts w:cs="Times New Roman"/>
        </w:rPr>
        <w:t>(Dzialowski et al., 2005; Maberly et al., 2002)</w:t>
      </w:r>
      <w:r w:rsidR="00CA6A1E">
        <w:fldChar w:fldCharType="end"/>
      </w:r>
      <w:r>
        <w:t xml:space="preserve">. Now it is believed that phytoplankton abundance is co-limited by both </w:t>
      </w:r>
      <w:r w:rsidR="00C50758">
        <w:t xml:space="preserve">nitrogen and phosphorus </w:t>
      </w:r>
      <w:r w:rsidR="00CA6A1E">
        <w:fldChar w:fldCharType="begin"/>
      </w:r>
      <w:r w:rsidR="00C50758">
        <w:instrText xml:space="preserve"> ADDIN ZOTERO_ITEM CSL_CITATION {"citationID":"la7i9nvsg","properties":{"formattedCitation":"(Elser et al., 1990, 2007)","plainCitation":"(Elser et al., 1990, 2007)"},"citationItems":[{"id":140,"uris":["http://zotero.org/groups/176403/items/RNR6EJFW"],"uri":["http://zotero.org/groups/176403/items/RNR6EJFW"],"itemData":{"id":140,"type":"article-journal","title":"Phosphorus and Nitrogen Limitation of Phytoplankton Growth in the Freshwaters of North America: A Review and Critique of Experimental Enrichments","container-title":"Canadian Journal of Fisheries and Aquatic Sciences","page":"1468-1477","volume":"47","issue":"7","source":"NRC Research Press","abstract":"While phosphorus is generally considered to be the primary nutrient limiting algal growth in lakes, limitation of algal growth by nitrogen has been observed in freshwater. It is also commonly observed that the most pronounced phytoplankton responses to enrichment occur when both N and P are added together. This led us to re-evaluate nitrogen's status as a secondary nutrient in freshwater through a systematic literature search. In our survey of enrichment bioassays, we found considerable deficiencies in the degree to which investigators have applied sufficient replication, performed and reported statistical tests, and assessed seasonal and spatial differences in algal nutrient limitation. Given these limitations, however, we found that combined N + P enrichment enhanced algal growth much more frequently and more substantially than did addition of N or P singly. On average, the frequency and degree of algal response did not differ for P vs. N enrichment. From our review of whole-lake fertilizations, we conc..., Bien que le phosphore soit considéré en général comme le principal élément nutritif limitant la croissance des algues dans les lacs, on a remarqué que l'azote limitait la croissance des algues dans les eaux douces. On a observé généralement aussi que les réactions les plus marquées du phytoplancton à l'enrichissement se produisent lorsque l'azote (N) et le phosphore (P) sont ajoutés ensemble. Suite à ces observations, nous avons réévalué l'état de l'azote comme élément nutritif secondaire en eau douce par le biais d'une recherche systématique dans la littérature. Dans le cadre de nos études sur les essais biologiques d'enrichissement, nous avons relevé des lacunes importantes au niveau du nombre de répétitions des essais effectuées par les chercheurs, des épreuves statistiques effectuées et de la déclaration des résultats, et de l'évaluation des écarts saisonniers et spatiaux au niveau de la limitation des éléments nutritifs des algues. Compte tenu de ces limites, toutefois, nous avons observé qu'un enric...","DOI":"10.1139/f90-165","ISSN":"0706-652X","shortTitle":"Phosphorus and Nitrogen Limitation of Phytoplankton Growth in the Freshwaters of North America","journalAbbreviation":"Can. J. Fish. Aquat. Sci.","author":[{"family":"Elser","given":"James J."},{"family":"Marzolf","given":"Erich R."},{"family":"Goldman","given":"Charles R."}],"issued":{"date-parts":[["1990",7,1]]},"accessed":{"date-parts":[["2013",6,21]]}}},{"id":131,"uris":["http://zotero.org/groups/176403/items/6Z4WRIZZ"],"uri":["http://zotero.org/groups/176403/items/6Z4WRIZZ"],"itemData":{"id":131,"type":"article-journal","title":"Global analysis of nitrogen and phosphorus limitation of primary producers in freshwater, marine and terrestrial ecosystems","container-title":"Ecology Letters","page":"1135–1142","volume":"10","issue":"12","source":"Wiley Online Library","abstract":"The cycles of the key nutrient elements nitrogen (N) and phosphorus (P) have been massively altered by anthropogenic activities. Thus, it is essential to understand how photosynthetic production across diverse ecosystems is, or is not, limited by N and P. Via a large-scale meta-analysis of experimental enrichments, we show that P limitation is equally strong across these major habitats and that N and P limitation are equivalent within both terrestrial and freshwater systems. Furthermore, simultaneous N and P enrichment produces strongly positive synergistic responses in all three environments. Thus, contrary to some prevailing paradigms, freshwater, marine and terrestrial ecosystems are surprisingly similar in terms of N and P limitation.","DOI":"10.1111/j.1461-0248.2007.01113.x","ISSN":"1461-0248","language":"en","author":[{"family":"Elser","given":"James J."},{"family":"Bracken","given":"Matthew E.S."},{"family":"Cleland","given":"Elsa E."},{"family":"Gruner","given":"Daniel S."},{"family":"Harpole","given":"W. Stanley"},{"family":"Hillebrand","given":"Helmut"},{"family":"Ngai","given":"Jacqueline T."},{"family":"Seabloom","given":"Eric W."},{"family":"Shurin","given":"Jonathan B."},{"family":"Smith","given":"Jennifer E."}],"issued":{"date-parts":[["2007"]]},"accessed":{"date-parts":[["2013",6,21]]}}}],"schema":"https://github.com/citation-style-language/schema/raw/master/csl-citation.json"} </w:instrText>
      </w:r>
      <w:r w:rsidR="00CA6A1E">
        <w:fldChar w:fldCharType="separate"/>
      </w:r>
      <w:r w:rsidR="00C50758" w:rsidRPr="00C50758">
        <w:rPr>
          <w:rFonts w:cs="Times New Roman"/>
        </w:rPr>
        <w:t>(Elser et al., 1990, 2007)</w:t>
      </w:r>
      <w:r w:rsidR="00CA6A1E">
        <w:fldChar w:fldCharType="end"/>
      </w:r>
      <w:r w:rsidR="00C50758">
        <w:t xml:space="preserve">; however, </w:t>
      </w:r>
      <w:r>
        <w:t xml:space="preserve">nutrients are not the only factors driving phytoplankton biomass and </w:t>
      </w:r>
      <w:proofErr w:type="spellStart"/>
      <w:r>
        <w:t>Chl</w:t>
      </w:r>
      <w:proofErr w:type="spellEnd"/>
      <w:r>
        <w:t xml:space="preserve"> </w:t>
      </w:r>
      <w:r>
        <w:rPr>
          <w:i/>
        </w:rPr>
        <w:t>a</w:t>
      </w:r>
      <w:r>
        <w:t xml:space="preserve">. Factors such light availability, presence and abundance of grazers, </w:t>
      </w:r>
      <w:r w:rsidR="00C746F9">
        <w:t>and carbon levels all play important roles.  Yet, o</w:t>
      </w:r>
      <w:r w:rsidR="008E1810">
        <w:t>f these many determinants, nutrients have the most promise for management</w:t>
      </w:r>
      <w:r w:rsidR="00164BA6">
        <w:t>; t</w:t>
      </w:r>
      <w:r w:rsidR="008E1810">
        <w:t>hus, modeling efforts have focused on nutrients.</w:t>
      </w:r>
      <w:r w:rsidR="001B2878">
        <w:t xml:space="preserve">  </w:t>
      </w:r>
    </w:p>
    <w:p w:rsidR="00871D88" w:rsidRDefault="001C4AF9" w:rsidP="00357891">
      <w:r>
        <w:tab/>
        <w:t xml:space="preserve">The many modeling studies focusing on nutrients and </w:t>
      </w:r>
      <w:proofErr w:type="spellStart"/>
      <w:r>
        <w:t>Chl</w:t>
      </w:r>
      <w:proofErr w:type="spellEnd"/>
      <w:r>
        <w:rPr>
          <w:i/>
        </w:rPr>
        <w:t xml:space="preserve"> a</w:t>
      </w:r>
      <w:r>
        <w:t xml:space="preserve"> can be grouped into </w:t>
      </w:r>
      <w:r w:rsidR="00533AA5">
        <w:t>broad</w:t>
      </w:r>
      <w:r>
        <w:t xml:space="preserve"> categories</w:t>
      </w:r>
      <w:r w:rsidR="00533AA5">
        <w:t xml:space="preserve"> that represent the form of the empirical relationships and the geographic extent of the stud</w:t>
      </w:r>
      <w:r w:rsidR="00464694">
        <w:t>y</w:t>
      </w:r>
      <w:r>
        <w:t xml:space="preserve"> (Table 1).  </w:t>
      </w:r>
      <w:r w:rsidR="00D857FB">
        <w:t>While many</w:t>
      </w:r>
      <w:r w:rsidR="00464694">
        <w:t xml:space="preserve"> of these studies</w:t>
      </w:r>
      <w:r w:rsidR="00D857FB">
        <w:t xml:space="preserve"> have been successfully used to model </w:t>
      </w:r>
      <w:proofErr w:type="spellStart"/>
      <w:r w:rsidR="00D857FB">
        <w:t>Chl</w:t>
      </w:r>
      <w:proofErr w:type="spellEnd"/>
      <w:r w:rsidR="00D857FB">
        <w:t xml:space="preserve"> </w:t>
      </w:r>
      <w:r w:rsidR="00D857FB">
        <w:rPr>
          <w:i/>
        </w:rPr>
        <w:t>a</w:t>
      </w:r>
      <w:r w:rsidR="00D857FB">
        <w:t xml:space="preserve">, they do suffer from a number of </w:t>
      </w:r>
      <w:r w:rsidR="00FD272A">
        <w:t>limitations</w:t>
      </w:r>
      <w:r w:rsidR="00D857FB">
        <w:t>.</w:t>
      </w:r>
      <w:r w:rsidR="00464694">
        <w:t xml:space="preserve">  </w:t>
      </w:r>
      <w:r w:rsidR="00973E14">
        <w:t xml:space="preserve">First, using TN and TP </w:t>
      </w:r>
      <w:r w:rsidR="00D857FB">
        <w:t xml:space="preserve">together as dependent variables in a linear model violates the </w:t>
      </w:r>
      <w:r w:rsidR="00973E14">
        <w:t>regression assumption</w:t>
      </w:r>
      <w:r w:rsidR="00D857FB">
        <w:t xml:space="preserve"> </w:t>
      </w:r>
      <w:r w:rsidR="00973E14">
        <w:t>that TN and TP are independent.  In other words, TN and TP</w:t>
      </w:r>
      <w:r w:rsidR="00D857FB">
        <w:t xml:space="preserve"> are highly collinear (Figure 1).  </w:t>
      </w:r>
      <w:r w:rsidR="00973E14">
        <w:t xml:space="preserve">In the case of </w:t>
      </w:r>
      <w:r w:rsidR="00FD272A">
        <w:t xml:space="preserve">ordinary </w:t>
      </w:r>
      <w:r w:rsidR="00973E14">
        <w:t>least squares</w:t>
      </w:r>
      <w:r w:rsidR="00FD272A">
        <w:t xml:space="preserve"> (OLS)</w:t>
      </w:r>
      <w:r w:rsidR="00973E14">
        <w:t xml:space="preserve"> regression, using collinear predictor variables, results in </w:t>
      </w:r>
      <w:r w:rsidR="00FD272A">
        <w:t xml:space="preserve">unstable </w:t>
      </w:r>
      <w:proofErr w:type="spellStart"/>
      <w:r w:rsidR="00FD272A">
        <w:t>coeffecients</w:t>
      </w:r>
      <w:proofErr w:type="spellEnd"/>
      <w:r w:rsidR="00FD272A">
        <w:t xml:space="preserve"> and often produces </w:t>
      </w:r>
      <w:r w:rsidR="00973E14">
        <w:t xml:space="preserve"> poorer</w:t>
      </w:r>
      <w:r w:rsidR="00FD272A">
        <w:t xml:space="preserve"> predictions</w:t>
      </w:r>
      <w:r w:rsidR="00973E14">
        <w:t xml:space="preserve"> than regression based on non-collinear predictors </w:t>
      </w:r>
      <w:r w:rsidR="00CA6A1E">
        <w:fldChar w:fldCharType="begin"/>
      </w:r>
      <w:r w:rsidR="00C11DD0">
        <w:instrText xml:space="preserve"> ADDIN ZOTERO_ITEM CSL_CITATION {"citationID":"1ld8hcqs9m","properties":{"formattedCitation":"{\\rtf (N\\uc0\\u230{}s and Mevik, 2001)}","plainCitation":"(Næs and Mevik, 2001)"},"citationItems":[{"id":298,"uris":["http://zotero.org/groups/176403/items/WJGUA5J3"],"uri":["http://zotero.org/groups/176403/items/WJGUA5J3"],"itemData":{"id":298,"type":"article-journal","title":"Understanding the collinearity problem in regression and discriminant analysis","container-title":"Journal of Chemometrics","page":"413–426","volume":"15","issue":"4","source":"Wiley Online Library","abstract":"This paper presents a discussion of the collinearity problem in regression and discriminant analysis. The paper describes reasons why the collinearity is a problem for the prediction ability and classification ability of the classical methods. The discussion is based on established formulae for prediction errors. Special emphasis is put on differences and similarities between regression and classification. Some typical ways of handling the collinearity problems based on PCA will be described. The theoretical discussion will be accompanied by empirical illustrations. Copyright © 2001 John Wiley &amp; Sons, Ltd.","DOI":"10.1002/cem.676","ISSN":"1099-128X","language":"en","author":[{"family":"Næs","given":"Tormod"},{"family":"Mevik","given":"Bjørn-Helge"}],"issued":{"date-parts":[["2001"]]},"accessed":{"date-parts":[["2013",6,28]]}}}],"schema":"https://github.com/citation-style-language/schema/raw/master/csl-citation.json"} </w:instrText>
      </w:r>
      <w:r w:rsidR="00CA6A1E">
        <w:fldChar w:fldCharType="separate"/>
      </w:r>
      <w:r w:rsidR="00C11DD0" w:rsidRPr="00C11DD0">
        <w:rPr>
          <w:rFonts w:cs="Times New Roman"/>
          <w:szCs w:val="24"/>
        </w:rPr>
        <w:t>(Næs and Mevik, 2001)</w:t>
      </w:r>
      <w:r w:rsidR="00CA6A1E">
        <w:fldChar w:fldCharType="end"/>
      </w:r>
      <w:r w:rsidR="00464694">
        <w:t xml:space="preserve">. </w:t>
      </w:r>
      <w:r w:rsidR="001D599B">
        <w:t xml:space="preserve">   </w:t>
      </w:r>
      <w:r w:rsidR="00D15FDC">
        <w:t>Second</w:t>
      </w:r>
      <w:r w:rsidR="00D857FB">
        <w:t xml:space="preserve">, many of these studies </w:t>
      </w:r>
      <w:r w:rsidR="00C50758">
        <w:t>show</w:t>
      </w:r>
      <w:r w:rsidR="00D857FB">
        <w:t xml:space="preserve"> the relationships between nutrients and </w:t>
      </w:r>
      <w:proofErr w:type="spellStart"/>
      <w:r w:rsidR="00D857FB">
        <w:t>Chl</w:t>
      </w:r>
      <w:proofErr w:type="spellEnd"/>
      <w:r w:rsidR="00D857FB">
        <w:rPr>
          <w:i/>
        </w:rPr>
        <w:t xml:space="preserve"> </w:t>
      </w:r>
      <w:proofErr w:type="gramStart"/>
      <w:r w:rsidR="00D857FB">
        <w:rPr>
          <w:i/>
        </w:rPr>
        <w:t>a</w:t>
      </w:r>
      <w:r w:rsidR="00D857FB">
        <w:t xml:space="preserve"> for</w:t>
      </w:r>
      <w:proofErr w:type="gramEnd"/>
      <w:r w:rsidR="00D857FB">
        <w:t xml:space="preserve"> a relatively small sample of lakes</w:t>
      </w:r>
      <w:r w:rsidR="00FD272A">
        <w:t xml:space="preserve">.  </w:t>
      </w:r>
      <w:r w:rsidR="000F4F65">
        <w:t xml:space="preserve">Lastly, very few studies, especially in the United States, have been able </w:t>
      </w:r>
      <w:r w:rsidR="000F4F65">
        <w:lastRenderedPageBreak/>
        <w:t>to examine nutrient-</w:t>
      </w:r>
      <w:proofErr w:type="spellStart"/>
      <w:r w:rsidR="000F4F65">
        <w:t>Chl</w:t>
      </w:r>
      <w:proofErr w:type="spellEnd"/>
      <w:r w:rsidR="000F4F65">
        <w:rPr>
          <w:i/>
        </w:rPr>
        <w:t xml:space="preserve"> a</w:t>
      </w:r>
      <w:r w:rsidR="000F4F65">
        <w:t xml:space="preserve"> relationships across broad geographic regions.  In spite of these limitations, the previously mentioned studies have laid a</w:t>
      </w:r>
      <w:r w:rsidR="00C50758">
        <w:t xml:space="preserve"> strong</w:t>
      </w:r>
      <w:r w:rsidR="000F4F65">
        <w:t xml:space="preserve"> foundation for future modeling work relating nutrients and </w:t>
      </w:r>
      <w:proofErr w:type="spellStart"/>
      <w:r w:rsidR="000F4F65">
        <w:t>Chl</w:t>
      </w:r>
      <w:proofErr w:type="spellEnd"/>
      <w:r w:rsidR="000F4F65">
        <w:t xml:space="preserve"> </w:t>
      </w:r>
      <w:r w:rsidR="000F4F65">
        <w:rPr>
          <w:i/>
        </w:rPr>
        <w:t>a</w:t>
      </w:r>
      <w:r w:rsidR="000F4F65">
        <w:t xml:space="preserve">.  </w:t>
      </w:r>
    </w:p>
    <w:p w:rsidR="006B5274" w:rsidRPr="00A82170" w:rsidRDefault="000F4F65" w:rsidP="00357891">
      <w:r>
        <w:tab/>
        <w:t xml:space="preserve">The goal of this paper is to build on the past studies and address many of the limitations outlined above.   We plan to use </w:t>
      </w:r>
      <w:r w:rsidR="00FD272A">
        <w:t>principal components regression to avoid</w:t>
      </w:r>
      <w:r>
        <w:t xml:space="preserve"> the pro</w:t>
      </w:r>
      <w:r w:rsidR="00FD272A">
        <w:t xml:space="preserve">blems associated with </w:t>
      </w:r>
      <w:proofErr w:type="spellStart"/>
      <w:r w:rsidR="00FD272A">
        <w:t>multi</w:t>
      </w:r>
      <w:r w:rsidR="00C50758">
        <w:t>collinearity</w:t>
      </w:r>
      <w:proofErr w:type="spellEnd"/>
      <w:r w:rsidR="00C50758">
        <w:t xml:space="preserve"> and</w:t>
      </w:r>
      <w:r>
        <w:t xml:space="preserve"> use a large dataset that is representative of lakes across broad regions</w:t>
      </w:r>
      <w:r w:rsidR="00A13D76">
        <w:t xml:space="preserve">.  </w:t>
      </w:r>
      <w:r>
        <w:t xml:space="preserve"> </w:t>
      </w:r>
      <w:r w:rsidR="00871D88">
        <w:t xml:space="preserve">We expect to find that </w:t>
      </w:r>
      <w:r w:rsidR="00FD272A">
        <w:t>principal components regression better</w:t>
      </w:r>
      <w:r w:rsidR="00E375FC">
        <w:t xml:space="preserve"> account</w:t>
      </w:r>
      <w:r w:rsidR="00FD272A">
        <w:t>s</w:t>
      </w:r>
      <w:r w:rsidR="00E375FC">
        <w:t xml:space="preserve"> for the </w:t>
      </w:r>
      <w:proofErr w:type="spellStart"/>
      <w:r w:rsidR="00FD272A">
        <w:t>Chl</w:t>
      </w:r>
      <w:proofErr w:type="spellEnd"/>
      <w:r w:rsidR="00FD272A">
        <w:t xml:space="preserve"> </w:t>
      </w:r>
      <w:proofErr w:type="gramStart"/>
      <w:r w:rsidR="00FD272A">
        <w:rPr>
          <w:i/>
        </w:rPr>
        <w:t xml:space="preserve">a </w:t>
      </w:r>
      <w:r w:rsidR="00FD272A">
        <w:t>variability</w:t>
      </w:r>
      <w:proofErr w:type="gramEnd"/>
      <w:r w:rsidR="00FD272A">
        <w:t xml:space="preserve"> from</w:t>
      </w:r>
      <w:r w:rsidR="00E375FC">
        <w:t xml:space="preserve"> TN, TP </w:t>
      </w:r>
      <w:r w:rsidR="00FD272A">
        <w:t>and TN/TP than do simple OLS regressions.  Furthermore, we provide access to the data and scripts used for the study.</w:t>
      </w:r>
    </w:p>
    <w:p w:rsidR="00560DEB" w:rsidRPr="00560DEB" w:rsidRDefault="00560DEB" w:rsidP="00357891">
      <w:pPr>
        <w:pStyle w:val="Heading1"/>
      </w:pPr>
      <w:r>
        <w:t>Methods</w:t>
      </w:r>
    </w:p>
    <w:p w:rsidR="00D15FDC" w:rsidRDefault="00D15FDC" w:rsidP="00357891">
      <w:pPr>
        <w:rPr>
          <w:rFonts w:cs="Times New Roman"/>
          <w:szCs w:val="24"/>
        </w:rPr>
      </w:pPr>
      <w:r>
        <w:rPr>
          <w:rFonts w:cs="Times New Roman"/>
          <w:szCs w:val="24"/>
        </w:rPr>
        <w:tab/>
        <w:t>None of the many studies mentioned (Table 1) are able to account for all of the issues outlined above.  This study does so by utilizing a dataset that is geographically broad and relatively large.  Additionally</w:t>
      </w:r>
      <w:r w:rsidR="00357891">
        <w:rPr>
          <w:rFonts w:cs="Times New Roman"/>
          <w:szCs w:val="24"/>
        </w:rPr>
        <w:t>,</w:t>
      </w:r>
      <w:r>
        <w:rPr>
          <w:rFonts w:cs="Times New Roman"/>
          <w:szCs w:val="24"/>
        </w:rPr>
        <w:t xml:space="preserve"> we develop a model </w:t>
      </w:r>
      <w:r w:rsidR="006835F7">
        <w:rPr>
          <w:rFonts w:cs="Times New Roman"/>
          <w:szCs w:val="24"/>
        </w:rPr>
        <w:t xml:space="preserve">which </w:t>
      </w:r>
      <w:r w:rsidR="00C11DD0">
        <w:rPr>
          <w:rFonts w:cs="Times New Roman"/>
          <w:szCs w:val="24"/>
        </w:rPr>
        <w:t>does not</w:t>
      </w:r>
      <w:r>
        <w:rPr>
          <w:rFonts w:cs="Times New Roman"/>
          <w:szCs w:val="24"/>
        </w:rPr>
        <w:t xml:space="preserve"> suffer from </w:t>
      </w:r>
      <w:proofErr w:type="spellStart"/>
      <w:r w:rsidR="00C50758">
        <w:rPr>
          <w:rFonts w:cs="Times New Roman"/>
          <w:szCs w:val="24"/>
        </w:rPr>
        <w:t>multi</w:t>
      </w:r>
      <w:r>
        <w:rPr>
          <w:rFonts w:cs="Times New Roman"/>
          <w:szCs w:val="24"/>
        </w:rPr>
        <w:t>collinearity</w:t>
      </w:r>
      <w:proofErr w:type="spellEnd"/>
      <w:r>
        <w:rPr>
          <w:rFonts w:cs="Times New Roman"/>
          <w:szCs w:val="24"/>
        </w:rPr>
        <w:t xml:space="preserve"> of the dependent variables.  </w:t>
      </w:r>
      <w:r w:rsidR="00204960">
        <w:rPr>
          <w:rFonts w:cs="Times New Roman"/>
          <w:szCs w:val="24"/>
        </w:rPr>
        <w:t xml:space="preserve">The data and scripts outlined below are freely available as supplements to this paper. </w:t>
      </w:r>
    </w:p>
    <w:p w:rsidR="00357891" w:rsidRDefault="00D15FDC" w:rsidP="00357891">
      <w:pPr>
        <w:pStyle w:val="Heading2"/>
      </w:pPr>
      <w:r>
        <w:t xml:space="preserve"> Study Area and Dat</w:t>
      </w:r>
      <w:r w:rsidR="00357891">
        <w:t>a</w:t>
      </w:r>
    </w:p>
    <w:p w:rsidR="00560DEB" w:rsidRPr="00960781" w:rsidRDefault="00357891" w:rsidP="00960781">
      <w:r>
        <w:tab/>
        <w:t xml:space="preserve">Our study area for this </w:t>
      </w:r>
      <w:r w:rsidR="00A82170">
        <w:t>research is the contermin</w:t>
      </w:r>
      <w:r w:rsidR="006835F7">
        <w:t>ous United States.  The specific focus of our work is</w:t>
      </w:r>
      <w:r w:rsidR="00A82170">
        <w:t xml:space="preserve"> lakes, ponds</w:t>
      </w:r>
      <w:r>
        <w:t xml:space="preserve"> and reservoirs of the conterminous United States </w:t>
      </w:r>
      <w:r w:rsidR="00A82170">
        <w:t>that are rep</w:t>
      </w:r>
      <w:r>
        <w:t>resented in the NHD Plus, version 1.0</w:t>
      </w:r>
      <w:r w:rsidR="00A82170">
        <w:t xml:space="preserve"> and are larger than XXX hectares</w:t>
      </w:r>
      <w:r w:rsidR="006835F7">
        <w:t xml:space="preserve"> </w:t>
      </w:r>
      <w:r w:rsidR="00CA6A1E">
        <w:fldChar w:fldCharType="begin"/>
      </w:r>
      <w:r w:rsidR="00C11DD0">
        <w:instrText xml:space="preserve"> ADDIN ZOTERO_ITEM CSL_CITATION {"citationID":"1o34t21kqg","properties":{"formattedCitation":"(USEPA and USGS, 2005)","plainCitation":"(USEPA and USGS, 2005)"},"citationItems":[{"id":120,"uris":["http://zotero.org/groups/176403/items/ETFGAS4V"],"uri":["http://zotero.org/groups/176403/items/ETFGAS4V"],"itemData":{"id":120,"type":"article","title":"National Hydrography Dataset Plus - NHD Plus","URL":"http://www.horizon-systems.com/NHDPlus/NHDPlusV1_home.php","author":[{"family":"USEPA","given":""},{"family":"USGS","given":""}],"issued":{"date-parts":[["2005"]]},"accessed":{"date-parts":[["2013",7,9]]}}}],"schema":"https://github.com/citation-style-language/schema/raw/master/csl-citation.json"} </w:instrText>
      </w:r>
      <w:r w:rsidR="00CA6A1E">
        <w:fldChar w:fldCharType="separate"/>
      </w:r>
      <w:r w:rsidR="00C11DD0" w:rsidRPr="00C11DD0">
        <w:rPr>
          <w:rFonts w:cs="Times New Roman"/>
        </w:rPr>
        <w:t>(USEPA and USGS, 2005)</w:t>
      </w:r>
      <w:r w:rsidR="00CA6A1E">
        <w:fldChar w:fldCharType="end"/>
      </w:r>
      <w:r w:rsidR="00A82170">
        <w:t>.</w:t>
      </w:r>
      <w:r w:rsidR="006835F7">
        <w:t xml:space="preserve">  The NHD Plus serves as the sample frame for the USEPA’s National Lakes Assessments (NLA) for 2007 and 2012</w:t>
      </w:r>
      <w:r w:rsidR="001D599B">
        <w:t xml:space="preserve"> (Figure 2)</w:t>
      </w:r>
      <w:r w:rsidR="006835F7">
        <w:t xml:space="preserve">.  </w:t>
      </w:r>
      <w:r w:rsidR="00960781">
        <w:t xml:space="preserve">  The NLA is a probabilistic survey of lakes, ponds and reservoirs conducted every 5 years by US EPA’s National Aquatic Resource Surveys.  These surveys </w:t>
      </w:r>
      <w:r w:rsidR="00960781">
        <w:lastRenderedPageBreak/>
        <w:t>collect physical, chemical, and habitat data.  For this study, we</w:t>
      </w:r>
      <w:r w:rsidR="006835F7">
        <w:t xml:space="preserve"> use the TN, TP, and </w:t>
      </w:r>
      <w:proofErr w:type="spellStart"/>
      <w:r w:rsidR="006835F7">
        <w:t>Chl</w:t>
      </w:r>
      <w:proofErr w:type="spellEnd"/>
      <w:r w:rsidR="006835F7">
        <w:t xml:space="preserve"> </w:t>
      </w:r>
      <w:r w:rsidR="006835F7">
        <w:rPr>
          <w:i/>
        </w:rPr>
        <w:t>a</w:t>
      </w:r>
      <w:r w:rsidR="006835F7">
        <w:t xml:space="preserve"> data from</w:t>
      </w:r>
      <w:r w:rsidR="00FD272A">
        <w:t xml:space="preserve"> the 2012</w:t>
      </w:r>
      <w:r w:rsidR="006835F7">
        <w:t xml:space="preserve"> NLA</w:t>
      </w:r>
      <w:r w:rsidR="00FD272A">
        <w:t xml:space="preserve"> (n = 969</w:t>
      </w:r>
      <w:r w:rsidR="00DF65BD">
        <w:t xml:space="preserve">) </w:t>
      </w:r>
      <w:r w:rsidR="00960781">
        <w:t xml:space="preserve">to train our models and TN, TP, and </w:t>
      </w:r>
      <w:proofErr w:type="spellStart"/>
      <w:r w:rsidR="00960781">
        <w:t>Chl</w:t>
      </w:r>
      <w:proofErr w:type="spellEnd"/>
      <w:r w:rsidR="00960781">
        <w:t xml:space="preserve"> </w:t>
      </w:r>
      <w:r w:rsidR="00960781">
        <w:rPr>
          <w:i/>
        </w:rPr>
        <w:t>a</w:t>
      </w:r>
      <w:r w:rsidR="00FD272A">
        <w:t xml:space="preserve"> from the 2007 NLA (n = 1152) to test the accuracy of </w:t>
      </w:r>
      <w:r w:rsidR="00960781">
        <w:t>the model predictions.</w:t>
      </w:r>
      <w:r w:rsidR="001D599B">
        <w:t xml:space="preserve">  </w:t>
      </w:r>
      <w:proofErr w:type="spellStart"/>
      <w:r w:rsidR="006156B7">
        <w:t>Ecoregions</w:t>
      </w:r>
      <w:proofErr w:type="spellEnd"/>
      <w:r w:rsidR="006156B7">
        <w:t xml:space="preserve"> were also used to develop the 2007 NLA and these are modified from the XXX (NEED REF).</w:t>
      </w:r>
    </w:p>
    <w:p w:rsidR="00D15FDC" w:rsidRPr="00D15FDC" w:rsidRDefault="001D599B" w:rsidP="00357891">
      <w:pPr>
        <w:pStyle w:val="Heading2"/>
      </w:pPr>
      <w:r>
        <w:t>Principal Components Regression</w:t>
      </w:r>
    </w:p>
    <w:p w:rsidR="00352659" w:rsidRDefault="00FD272A" w:rsidP="00357891">
      <w:pPr>
        <w:rPr>
          <w:rFonts w:cs="Times New Roman"/>
          <w:szCs w:val="24"/>
        </w:rPr>
      </w:pPr>
      <w:r>
        <w:rPr>
          <w:rFonts w:cs="Times New Roman"/>
          <w:szCs w:val="24"/>
        </w:rPr>
        <w:tab/>
        <w:t xml:space="preserve">Most published models of the relationships between </w:t>
      </w:r>
      <w:proofErr w:type="spellStart"/>
      <w:r>
        <w:rPr>
          <w:rFonts w:cs="Times New Roman"/>
          <w:szCs w:val="24"/>
        </w:rPr>
        <w:t>Chl</w:t>
      </w:r>
      <w:proofErr w:type="spellEnd"/>
      <w:r>
        <w:rPr>
          <w:rFonts w:cs="Times New Roman"/>
          <w:szCs w:val="24"/>
        </w:rPr>
        <w:t xml:space="preserve"> </w:t>
      </w:r>
      <w:proofErr w:type="gramStart"/>
      <w:r>
        <w:rPr>
          <w:rFonts w:cs="Times New Roman"/>
          <w:i/>
          <w:szCs w:val="24"/>
        </w:rPr>
        <w:t xml:space="preserve">a </w:t>
      </w:r>
      <w:r>
        <w:rPr>
          <w:rFonts w:cs="Times New Roman"/>
          <w:szCs w:val="24"/>
        </w:rPr>
        <w:t>and</w:t>
      </w:r>
      <w:proofErr w:type="gramEnd"/>
      <w:r>
        <w:rPr>
          <w:rFonts w:cs="Times New Roman"/>
          <w:szCs w:val="24"/>
        </w:rPr>
        <w:t xml:space="preserve"> TN and TP rely on OLS regressions of the raw and/or log transformed </w:t>
      </w:r>
      <w:r w:rsidR="00352659">
        <w:rPr>
          <w:rFonts w:cs="Times New Roman"/>
          <w:szCs w:val="24"/>
        </w:rPr>
        <w:t>nutrient concentrations.  While these regressions do fit the data quite well, they suffer from multi-</w:t>
      </w:r>
      <w:proofErr w:type="spellStart"/>
      <w:r w:rsidR="00352659">
        <w:rPr>
          <w:rFonts w:cs="Times New Roman"/>
          <w:szCs w:val="24"/>
        </w:rPr>
        <w:t>collinearity</w:t>
      </w:r>
      <w:proofErr w:type="spellEnd"/>
      <w:r w:rsidR="00352659">
        <w:rPr>
          <w:rFonts w:cs="Times New Roman"/>
          <w:szCs w:val="24"/>
        </w:rPr>
        <w:t xml:space="preserve"> of the predictor variables or don’t account for the role that TN</w:t>
      </w:r>
      <w:proofErr w:type="gramStart"/>
      <w:r w:rsidR="00352659">
        <w:rPr>
          <w:rFonts w:cs="Times New Roman"/>
          <w:szCs w:val="24"/>
        </w:rPr>
        <w:t>:TP</w:t>
      </w:r>
      <w:proofErr w:type="gramEnd"/>
      <w:r w:rsidR="00352659">
        <w:rPr>
          <w:rFonts w:cs="Times New Roman"/>
          <w:szCs w:val="24"/>
        </w:rPr>
        <w:t xml:space="preserve"> ratio plays.  To account for this, we have chosen to use principal components regression (REFERENCES).  Fully describing principal components regression is outside the scope of this study, but readers should consult (REFERENCES) for more details.  Further, the exact analysis described here, may be repeated with scripts (Supplement 1) and data (Supplement 2).  </w:t>
      </w:r>
    </w:p>
    <w:p w:rsidR="00FD272A" w:rsidRDefault="00352659" w:rsidP="00357891">
      <w:pPr>
        <w:rPr>
          <w:rFonts w:cs="Times New Roman"/>
          <w:szCs w:val="24"/>
        </w:rPr>
      </w:pPr>
      <w:r>
        <w:rPr>
          <w:rFonts w:cs="Times New Roman"/>
          <w:szCs w:val="24"/>
        </w:rPr>
        <w:tab/>
        <w:t xml:space="preserve">In short, we construct a data matrix of </w:t>
      </w:r>
      <w:proofErr w:type="spellStart"/>
      <w:proofErr w:type="gramStart"/>
      <w:r>
        <w:rPr>
          <w:rFonts w:cs="Times New Roman"/>
          <w:szCs w:val="24"/>
        </w:rPr>
        <w:t>ln</w:t>
      </w:r>
      <w:proofErr w:type="spellEnd"/>
      <w:r>
        <w:rPr>
          <w:rFonts w:cs="Times New Roman"/>
          <w:szCs w:val="24"/>
        </w:rPr>
        <w:t>(</w:t>
      </w:r>
      <w:proofErr w:type="gramEnd"/>
      <w:r>
        <w:rPr>
          <w:rFonts w:cs="Times New Roman"/>
          <w:szCs w:val="24"/>
        </w:rPr>
        <w:t xml:space="preserve">TN), </w:t>
      </w:r>
      <w:proofErr w:type="spellStart"/>
      <w:r>
        <w:rPr>
          <w:rFonts w:cs="Times New Roman"/>
          <w:szCs w:val="24"/>
        </w:rPr>
        <w:t>ln</w:t>
      </w:r>
      <w:proofErr w:type="spellEnd"/>
      <w:r>
        <w:rPr>
          <w:rFonts w:cs="Times New Roman"/>
          <w:szCs w:val="24"/>
        </w:rPr>
        <w:t xml:space="preserve">(TP), and </w:t>
      </w:r>
      <w:proofErr w:type="spellStart"/>
      <w:r>
        <w:rPr>
          <w:rFonts w:cs="Times New Roman"/>
          <w:szCs w:val="24"/>
        </w:rPr>
        <w:t>ln</w:t>
      </w:r>
      <w:proofErr w:type="spellEnd"/>
      <w:r>
        <w:rPr>
          <w:rFonts w:cs="Times New Roman"/>
          <w:szCs w:val="24"/>
        </w:rPr>
        <w:t>(TN/TP) and conduct a principal components analysis on that matrix</w:t>
      </w:r>
      <w:r w:rsidR="00C50758">
        <w:rPr>
          <w:rFonts w:cs="Times New Roman"/>
          <w:szCs w:val="24"/>
        </w:rPr>
        <w:t>.  The resultant components, principal c</w:t>
      </w:r>
      <w:r>
        <w:rPr>
          <w:rFonts w:cs="Times New Roman"/>
          <w:szCs w:val="24"/>
        </w:rPr>
        <w:t>omponents 1, 2, and 3 (PC1, PC2, PC3), are orthogonal and no long collinear.  We use these three components as predictor variables in</w:t>
      </w:r>
      <w:r w:rsidR="00FD272A">
        <w:rPr>
          <w:rFonts w:cs="Times New Roman"/>
          <w:szCs w:val="24"/>
        </w:rPr>
        <w:t xml:space="preserve"> </w:t>
      </w:r>
      <w:r>
        <w:rPr>
          <w:rFonts w:cs="Times New Roman"/>
          <w:szCs w:val="24"/>
        </w:rPr>
        <w:t>a simple OLS regression of the form:</w:t>
      </w:r>
    </w:p>
    <w:p w:rsidR="00E375FC" w:rsidRDefault="002D55B2" w:rsidP="00C50758">
      <w:pPr>
        <w:spacing w:before="240"/>
        <w:ind w:firstLine="720"/>
        <w:jc w:val="right"/>
        <w:rPr>
          <w:rFonts w:cs="Times New Roman"/>
          <w:szCs w:val="24"/>
        </w:rPr>
      </w:pPr>
      <m:oMath>
        <w:proofErr w:type="spellStart"/>
        <m:r>
          <m:rPr>
            <m:nor/>
          </m:rPr>
          <w:rPr>
            <w:rFonts w:ascii="Cambria Math" w:hAnsi="Cambria Math" w:cs="Times New Roman"/>
            <w:szCs w:val="24"/>
          </w:rPr>
          <m:t>ln</m:t>
        </m:r>
        <w:proofErr w:type="spellEnd"/>
        <m:d>
          <m:dPr>
            <m:ctrlPr>
              <w:rPr>
                <w:rFonts w:ascii="Cambria Math" w:hAnsi="Cambria Math" w:cs="Times New Roman"/>
                <w:i/>
                <w:szCs w:val="24"/>
              </w:rPr>
            </m:ctrlPr>
          </m:dPr>
          <m:e>
            <m:r>
              <w:rPr>
                <w:rFonts w:ascii="Cambria Math" w:hAnsi="Cambria Math" w:cs="Times New Roman"/>
                <w:szCs w:val="24"/>
              </w:rPr>
              <m:t>Chl a</m:t>
            </m:r>
          </m:e>
        </m:d>
        <m:r>
          <w:rPr>
            <w:rFonts w:ascii="Cambria Math" w:hAnsi="Cambria Math" w:cs="Times New Roman"/>
            <w:szCs w:val="24"/>
          </w:rPr>
          <m:t xml:space="preserve"> = α+ </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r>
          <w:rPr>
            <w:rFonts w:ascii="Cambria Math" w:hAnsi="Cambria Math" w:cs="Times New Roman"/>
            <w:szCs w:val="24"/>
          </w:rPr>
          <m:t xml:space="preserve">PC1 + </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r>
          <w:rPr>
            <w:rFonts w:ascii="Cambria Math" w:hAnsi="Cambria Math" w:cs="Times New Roman"/>
            <w:szCs w:val="24"/>
          </w:rPr>
          <m:t xml:space="preserve">PC2 + </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3</m:t>
            </m:r>
          </m:sub>
        </m:sSub>
        <m:r>
          <w:rPr>
            <w:rFonts w:ascii="Cambria Math" w:hAnsi="Cambria Math" w:cs="Times New Roman"/>
            <w:szCs w:val="24"/>
          </w:rPr>
          <m:t xml:space="preserve">PC3   </m:t>
        </m:r>
      </m:oMath>
      <w:r w:rsidR="00C50758">
        <w:rPr>
          <w:rFonts w:cs="Times New Roman"/>
          <w:szCs w:val="24"/>
        </w:rPr>
        <w:tab/>
      </w:r>
      <w:r w:rsidR="00C50758">
        <w:rPr>
          <w:rFonts w:cs="Times New Roman"/>
          <w:szCs w:val="24"/>
        </w:rPr>
        <w:tab/>
      </w:r>
      <w:r w:rsidR="00C50758">
        <w:rPr>
          <w:rFonts w:cs="Times New Roman"/>
          <w:szCs w:val="24"/>
        </w:rPr>
        <w:tab/>
        <w:t>[1]</w:t>
      </w:r>
    </w:p>
    <w:p w:rsidR="00352659" w:rsidRDefault="00C50758" w:rsidP="00352659">
      <w:pPr>
        <w:spacing w:before="240"/>
        <w:rPr>
          <w:rFonts w:cs="Times New Roman"/>
          <w:szCs w:val="24"/>
        </w:rPr>
      </w:pPr>
      <w:r>
        <w:rPr>
          <w:rFonts w:cs="Times New Roman"/>
          <w:szCs w:val="24"/>
        </w:rPr>
        <w:t xml:space="preserve">We use the 2012 data as a training dataset to calculate the principal components as well as </w:t>
      </w:r>
      <w:r w:rsidR="00286D4D">
        <w:rPr>
          <w:rFonts w:cs="Times New Roman"/>
          <w:szCs w:val="24"/>
        </w:rPr>
        <w:t>parameterize</w:t>
      </w:r>
      <w:r>
        <w:rPr>
          <w:rFonts w:cs="Times New Roman"/>
          <w:szCs w:val="24"/>
        </w:rPr>
        <w:t xml:space="preserve"> the OLS regression.</w:t>
      </w:r>
    </w:p>
    <w:p w:rsidR="00E375FC" w:rsidRDefault="00286D4D" w:rsidP="00357891">
      <w:pPr>
        <w:rPr>
          <w:rFonts w:cs="Times New Roman"/>
          <w:szCs w:val="24"/>
        </w:rPr>
      </w:pPr>
      <w:r w:rsidRPr="00286D4D">
        <w:rPr>
          <w:rFonts w:cs="Times New Roman"/>
          <w:i/>
          <w:szCs w:val="24"/>
        </w:rPr>
        <w:t>Accuracy Assessment</w:t>
      </w:r>
    </w:p>
    <w:p w:rsidR="006E46BE" w:rsidRDefault="00286D4D" w:rsidP="006E46BE">
      <w:r>
        <w:rPr>
          <w:rFonts w:cs="Times New Roman"/>
          <w:szCs w:val="24"/>
        </w:rPr>
        <w:lastRenderedPageBreak/>
        <w:tab/>
        <w:t xml:space="preserve">To test if there was any improvement in predictions with our model versus traditional methods, we validate both our model and traditional models with NLA data from 2007.  </w:t>
      </w:r>
      <w:r w:rsidR="006E46BE">
        <w:t xml:space="preserve">To estimate accuracy of each of the models, we used linear regression of the predicted 2007 </w:t>
      </w:r>
      <w:proofErr w:type="spellStart"/>
      <w:r w:rsidR="006E46BE">
        <w:t>Chl</w:t>
      </w:r>
      <w:proofErr w:type="spellEnd"/>
      <w:r w:rsidR="006E46BE">
        <w:t xml:space="preserve"> </w:t>
      </w:r>
      <w:r w:rsidR="006E46BE">
        <w:rPr>
          <w:i/>
        </w:rPr>
        <w:t xml:space="preserve">a </w:t>
      </w:r>
      <w:proofErr w:type="spellStart"/>
      <w:r w:rsidR="006E46BE">
        <w:t>vs</w:t>
      </w:r>
      <w:proofErr w:type="spellEnd"/>
      <w:r w:rsidR="006E46BE">
        <w:t xml:space="preserve"> the measured 2007 </w:t>
      </w:r>
      <w:proofErr w:type="spellStart"/>
      <w:r w:rsidR="006E46BE">
        <w:t>Chl</w:t>
      </w:r>
      <w:proofErr w:type="spellEnd"/>
      <w:r w:rsidR="006E46BE">
        <w:t xml:space="preserve"> </w:t>
      </w:r>
      <w:r w:rsidR="006E46BE">
        <w:rPr>
          <w:i/>
        </w:rPr>
        <w:t xml:space="preserve">a </w:t>
      </w:r>
      <w:r w:rsidR="006E46BE">
        <w:t xml:space="preserve">values to assess accuracy </w:t>
      </w:r>
      <w:r w:rsidR="006E46BE">
        <w:fldChar w:fldCharType="begin"/>
      </w:r>
      <w:r w:rsidR="006E46BE">
        <w:instrText xml:space="preserve"> ADDIN ZOTERO_ITEM CSL_CITATION {"citationID":"2nc736ndr0","properties":{"formattedCitation":"(Hollister et al., 2004)","plainCitation":"(Hollister et al., 2004)"},"citationItems":[{"id":69,"uris":["http://zotero.org/users/1472186/items/B67AMMW8"],"uri":["http://zotero.org/users/1472186/items/B67AMMW8"],"itemData":{"id":69,"type":"article-journal","title":"Assessing the accuracy of National Land Cover Dataset area estimates at multiple spatial extents","container-title":"Photogrammetric engineering and remote sensing","page":"405–414","volume":"70","issue":"4","source":"Google Scholar","author":[{"family":"Hollister","given":"Jeffrey W."},{"family":"Gonzalez","given":"M. Liliana"},{"family":"Paul","given":"John F."},{"family":"August","given":"Peter V."},{"family":"Copeland","given":"Jane L."}],"issued":{"date-parts":[["2004"]]},"accessed":{"date-parts":[["2013",6,20]]}}}],"schema":"https://github.com/citation-style-language/schema/raw/master/csl-citation.json"} </w:instrText>
      </w:r>
      <w:r w:rsidR="006E46BE">
        <w:fldChar w:fldCharType="separate"/>
      </w:r>
      <w:r w:rsidR="006E46BE" w:rsidRPr="006E46BE">
        <w:rPr>
          <w:rFonts w:cs="Times New Roman"/>
        </w:rPr>
        <w:t>(Hollister et al., 2004)</w:t>
      </w:r>
      <w:r w:rsidR="006E46BE">
        <w:fldChar w:fldCharType="end"/>
      </w:r>
      <w:r w:rsidR="006E46BE">
        <w:t xml:space="preserve">.  To compare the different models, we see which of the predicted vs. measured </w:t>
      </w:r>
      <w:proofErr w:type="spellStart"/>
      <w:r w:rsidR="006E46BE">
        <w:t>Chl</w:t>
      </w:r>
      <w:proofErr w:type="spellEnd"/>
      <w:r w:rsidR="006E46BE">
        <w:t xml:space="preserve"> </w:t>
      </w:r>
      <w:r w:rsidR="006E46BE">
        <w:rPr>
          <w:i/>
        </w:rPr>
        <w:t xml:space="preserve">a </w:t>
      </w:r>
      <w:r w:rsidR="006E46BE">
        <w:t xml:space="preserve">regressions had an </w:t>
      </w:r>
      <w:r w:rsidR="006E46BE">
        <w:rPr>
          <w:i/>
        </w:rPr>
        <w:t>R</w:t>
      </w:r>
      <w:r w:rsidR="006E46BE">
        <w:rPr>
          <w:i/>
          <w:vertAlign w:val="superscript"/>
        </w:rPr>
        <w:t>2</w:t>
      </w:r>
      <w:r w:rsidR="006E46BE">
        <w:t xml:space="preserve"> closest to one, a slope (</w:t>
      </w:r>
      <w:r w:rsidR="006E46BE">
        <w:rPr>
          <w:i/>
        </w:rPr>
        <w:t>β</w:t>
      </w:r>
      <w:r w:rsidR="006E46BE">
        <w:rPr>
          <w:vertAlign w:val="subscript"/>
        </w:rPr>
        <w:t>1</w:t>
      </w:r>
      <w:r w:rsidR="006E46BE">
        <w:t>) closest to one, an intercept (</w:t>
      </w:r>
      <w:r w:rsidR="006E46BE">
        <w:rPr>
          <w:i/>
        </w:rPr>
        <w:t>β</w:t>
      </w:r>
      <w:r w:rsidR="006E46BE">
        <w:rPr>
          <w:vertAlign w:val="subscript"/>
        </w:rPr>
        <w:t>0</w:t>
      </w:r>
      <w:r w:rsidR="006E46BE">
        <w:t xml:space="preserve">) closest to zero and the lowest Root Mean Square Error (RMSE). </w:t>
      </w:r>
      <w:r w:rsidR="00204960">
        <w:t xml:space="preserve">  </w:t>
      </w:r>
      <w:r w:rsidR="006E46BE">
        <w:t xml:space="preserve">Using this method we compare our Principal Components regression to </w:t>
      </w:r>
      <w:r w:rsidR="00204960">
        <w:t xml:space="preserve">the three most commonly used regressions to predict </w:t>
      </w:r>
      <w:proofErr w:type="spellStart"/>
      <w:r w:rsidR="00204960">
        <w:t>Chl</w:t>
      </w:r>
      <w:proofErr w:type="spellEnd"/>
      <w:r w:rsidR="00204960">
        <w:t xml:space="preserve"> </w:t>
      </w:r>
      <w:proofErr w:type="gramStart"/>
      <w:r w:rsidR="00204960">
        <w:rPr>
          <w:i/>
        </w:rPr>
        <w:t>a</w:t>
      </w:r>
      <w:r w:rsidR="00204960">
        <w:t xml:space="preserve"> from</w:t>
      </w:r>
      <w:proofErr w:type="gramEnd"/>
      <w:r w:rsidR="00204960">
        <w:t xml:space="preserve"> TN and TP: </w:t>
      </w:r>
    </w:p>
    <w:p w:rsidR="00204960" w:rsidRDefault="00204960" w:rsidP="00204960">
      <w:pPr>
        <w:jc w:val="right"/>
        <w:rPr>
          <w:rFonts w:eastAsiaTheme="minorEastAsia"/>
        </w:rP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Chl a</m:t>
                </m:r>
              </m:e>
            </m:d>
          </m:e>
        </m:func>
        <m:r>
          <w:rPr>
            <w:rFonts w:ascii="Cambria Math" w:hAnsi="Cambria Math"/>
          </w:rPr>
          <m:t>=α+ β</m:t>
        </m:r>
        <m:r>
          <m:rPr>
            <m:sty m:val="p"/>
          </m:rPr>
          <w:rPr>
            <w:rFonts w:ascii="Cambria Math" w:hAnsi="Cambria Math"/>
          </w:rPr>
          <m:t>ln⁡</m:t>
        </m:r>
        <m:r>
          <w:rPr>
            <w:rFonts w:ascii="Cambria Math" w:hAnsi="Cambria Math"/>
          </w:rPr>
          <m:t>(TN)</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[2]</w:t>
      </w:r>
    </w:p>
    <w:p w:rsidR="00204960" w:rsidRDefault="00204960" w:rsidP="00204960">
      <w:pPr>
        <w:jc w:val="right"/>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Chl a</m:t>
                </m:r>
              </m:e>
            </m:d>
          </m:e>
        </m:func>
        <m:r>
          <w:rPr>
            <w:rFonts w:ascii="Cambria Math" w:hAnsi="Cambria Math"/>
          </w:rPr>
          <m:t>=α+ β</m:t>
        </m:r>
        <m:r>
          <m:rPr>
            <m:sty m:val="p"/>
          </m:rPr>
          <w:rPr>
            <w:rFonts w:ascii="Cambria Math" w:hAnsi="Cambria Math"/>
          </w:rPr>
          <m:t>ln⁡</m:t>
        </m:r>
        <m:r>
          <w:rPr>
            <w:rFonts w:ascii="Cambria Math" w:hAnsi="Cambria Math"/>
          </w:rPr>
          <m:t>(TP)</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[3]</w:t>
      </w:r>
    </w:p>
    <w:p w:rsidR="00204960" w:rsidRPr="00204960" w:rsidRDefault="00204960" w:rsidP="00204960">
      <w:pPr>
        <w:jc w:val="right"/>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Chl a</m:t>
                </m:r>
              </m:e>
            </m:d>
          </m:e>
        </m:func>
        <m:r>
          <w:rPr>
            <w:rFonts w:ascii="Cambria Math" w:hAnsi="Cambria Math"/>
          </w:rPr>
          <m:t>=α+</m:t>
        </m:r>
        <m:sSub>
          <m:sSubPr>
            <m:ctrlPr>
              <w:rPr>
                <w:rFonts w:ascii="Cambria Math" w:hAnsi="Cambria Math"/>
                <w:i/>
              </w:rPr>
            </m:ctrlPr>
          </m:sSubPr>
          <m:e>
            <m:r>
              <w:rPr>
                <w:rFonts w:ascii="Cambria Math" w:hAnsi="Cambria Math"/>
              </w:rPr>
              <m:t xml:space="preserve"> β</m:t>
            </m:r>
          </m:e>
          <m:sub>
            <m:r>
              <w:rPr>
                <w:rFonts w:ascii="Cambria Math" w:hAnsi="Cambria Math"/>
              </w:rPr>
              <m:t>1</m:t>
            </m:r>
          </m:sub>
        </m:sSub>
        <m:r>
          <m:rPr>
            <m:sty m:val="p"/>
          </m:rPr>
          <w:rPr>
            <w:rFonts w:ascii="Cambria Math" w:hAnsi="Cambria Math"/>
          </w:rPr>
          <m:t>ln⁡</m:t>
        </m:r>
        <m:r>
          <w:rPr>
            <w:rFonts w:ascii="Cambria Math" w:hAnsi="Cambria Math"/>
          </w:rPr>
          <m:t>(TN)</m:t>
        </m:r>
      </m:oMath>
      <w:r>
        <w:rPr>
          <w:rFonts w:eastAsiaTheme="minorEastAsia"/>
        </w:rP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 xml:space="preserve"> β</m:t>
            </m:r>
          </m:e>
          <m:sub>
            <m:r>
              <w:rPr>
                <w:rFonts w:ascii="Cambria Math" w:hAnsi="Cambria Math"/>
              </w:rPr>
              <m:t>2</m:t>
            </m:r>
          </m:sub>
        </m:sSub>
        <m:r>
          <m:rPr>
            <m:sty m:val="p"/>
          </m:rPr>
          <w:rPr>
            <w:rFonts w:ascii="Cambria Math" w:hAnsi="Cambria Math"/>
          </w:rPr>
          <m:t>ln⁡</m:t>
        </m:r>
        <m:r>
          <w:rPr>
            <w:rFonts w:ascii="Cambria Math" w:hAnsi="Cambria Math"/>
          </w:rPr>
          <m:t>(TP)</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[4]</w:t>
      </w:r>
    </w:p>
    <w:p w:rsidR="00204960" w:rsidRPr="00204960" w:rsidRDefault="00204960" w:rsidP="00204960">
      <w:r>
        <w:t>Each of the models are parameterized with the 2012 NLA data, and validated with the 2007 NLA data.</w:t>
      </w:r>
    </w:p>
    <w:p w:rsidR="00560DEB" w:rsidRDefault="00560DEB" w:rsidP="00357891">
      <w:pPr>
        <w:pStyle w:val="Heading1"/>
      </w:pPr>
      <w:r>
        <w:t>Results and Discussion</w:t>
      </w:r>
    </w:p>
    <w:p w:rsidR="00AC4B96" w:rsidRPr="006156B7" w:rsidRDefault="006156B7" w:rsidP="00357891">
      <w:r>
        <w:tab/>
        <w:t xml:space="preserve">The TN, TP, and </w:t>
      </w:r>
      <w:proofErr w:type="spellStart"/>
      <w:r>
        <w:t>Chl</w:t>
      </w:r>
      <w:proofErr w:type="spellEnd"/>
      <w:r>
        <w:t xml:space="preserve"> </w:t>
      </w:r>
      <w:proofErr w:type="gramStart"/>
      <w:r>
        <w:rPr>
          <w:i/>
        </w:rPr>
        <w:t xml:space="preserve">a </w:t>
      </w:r>
      <w:r>
        <w:t>conditions</w:t>
      </w:r>
      <w:proofErr w:type="gramEnd"/>
      <w:r>
        <w:t xml:space="preserve"> in the lakes sampled in both 2007 and 2012 NL NLA varied considerably across the US (Table 2).  On average, the highest TN and TP values were seen in the Northern Plains (NPL) </w:t>
      </w:r>
      <w:proofErr w:type="spellStart"/>
      <w:r>
        <w:t>ecoregion</w:t>
      </w:r>
      <w:proofErr w:type="spellEnd"/>
      <w:r w:rsidR="00F82E8C">
        <w:t xml:space="preserve"> for both years of sampling.   T</w:t>
      </w:r>
      <w:r>
        <w:t xml:space="preserve">he highest </w:t>
      </w:r>
      <w:proofErr w:type="spellStart"/>
      <w:r>
        <w:t>Chl</w:t>
      </w:r>
      <w:proofErr w:type="spellEnd"/>
      <w:r>
        <w:t xml:space="preserve"> </w:t>
      </w:r>
      <w:proofErr w:type="gramStart"/>
      <w:r>
        <w:rPr>
          <w:i/>
        </w:rPr>
        <w:t>a</w:t>
      </w:r>
      <w:r w:rsidR="00F82E8C">
        <w:t xml:space="preserve"> was</w:t>
      </w:r>
      <w:proofErr w:type="gramEnd"/>
      <w:r w:rsidR="00F82E8C">
        <w:t xml:space="preserve"> in the Temperate Plains (TPL</w:t>
      </w:r>
      <w:r>
        <w:t>)</w:t>
      </w:r>
      <w:r w:rsidR="00F82E8C">
        <w:t xml:space="preserve"> in 2007 and in the Southern Plains (SPL) in 2012.  The lowest mean TN and </w:t>
      </w:r>
      <w:proofErr w:type="spellStart"/>
      <w:r w:rsidR="00F82E8C">
        <w:t>Chl</w:t>
      </w:r>
      <w:proofErr w:type="spellEnd"/>
      <w:r w:rsidR="00F82E8C">
        <w:t xml:space="preserve"> </w:t>
      </w:r>
      <w:proofErr w:type="gramStart"/>
      <w:r w:rsidR="00F82E8C">
        <w:rPr>
          <w:i/>
        </w:rPr>
        <w:t xml:space="preserve">a </w:t>
      </w:r>
      <w:r w:rsidR="00F82E8C">
        <w:t>was</w:t>
      </w:r>
      <w:proofErr w:type="gramEnd"/>
      <w:r w:rsidR="00F82E8C">
        <w:t xml:space="preserve"> in the Western Mountains (WMT) for both years.    Lowest</w:t>
      </w:r>
      <w:r>
        <w:t xml:space="preserve"> </w:t>
      </w:r>
      <w:r w:rsidR="00F82E8C">
        <w:t xml:space="preserve">average </w:t>
      </w:r>
      <w:proofErr w:type="spellStart"/>
      <w:r>
        <w:t>Chl</w:t>
      </w:r>
      <w:proofErr w:type="spellEnd"/>
      <w:r>
        <w:t xml:space="preserve"> </w:t>
      </w:r>
      <w:proofErr w:type="gramStart"/>
      <w:r>
        <w:rPr>
          <w:i/>
        </w:rPr>
        <w:t xml:space="preserve">a </w:t>
      </w:r>
      <w:r w:rsidR="00F82E8C">
        <w:t>is</w:t>
      </w:r>
      <w:proofErr w:type="gramEnd"/>
      <w:r w:rsidR="00F82E8C">
        <w:t xml:space="preserve"> found</w:t>
      </w:r>
      <w:r>
        <w:t xml:space="preserve"> in </w:t>
      </w:r>
      <w:r w:rsidR="00F82E8C">
        <w:t xml:space="preserve">the Northern </w:t>
      </w:r>
      <w:proofErr w:type="spellStart"/>
      <w:r w:rsidR="00F82E8C">
        <w:t>Apppalachians</w:t>
      </w:r>
      <w:proofErr w:type="spellEnd"/>
      <w:r w:rsidR="00F82E8C">
        <w:t xml:space="preserve"> (NAP)</w:t>
      </w:r>
      <w:r>
        <w:t>.</w:t>
      </w:r>
    </w:p>
    <w:p w:rsidR="00062C65" w:rsidRPr="00062C65" w:rsidRDefault="006156B7" w:rsidP="00357891">
      <w:pPr>
        <w:rPr>
          <w:i/>
        </w:rPr>
      </w:pPr>
      <w:r>
        <w:rPr>
          <w:i/>
        </w:rPr>
        <w:t>Principal Components Regression</w:t>
      </w:r>
    </w:p>
    <w:p w:rsidR="00037887" w:rsidRDefault="006156B7" w:rsidP="00357891">
      <w:proofErr w:type="gramStart"/>
      <w:r>
        <w:t>Fig 3.</w:t>
      </w:r>
      <w:proofErr w:type="gramEnd"/>
      <w:r>
        <w:t xml:space="preserve"> PCA Plots</w:t>
      </w:r>
    </w:p>
    <w:p w:rsidR="006156B7" w:rsidRDefault="006156B7" w:rsidP="00357891">
      <w:pPr>
        <w:rPr>
          <w:i/>
        </w:rPr>
      </w:pPr>
      <w:r>
        <w:rPr>
          <w:i/>
        </w:rPr>
        <w:lastRenderedPageBreak/>
        <w:t>Accuracy Assessment</w:t>
      </w:r>
    </w:p>
    <w:p w:rsidR="006156B7" w:rsidRPr="006156B7" w:rsidRDefault="006156B7" w:rsidP="00357891">
      <w:proofErr w:type="gramStart"/>
      <w:r>
        <w:t>Fig 4.</w:t>
      </w:r>
      <w:proofErr w:type="gramEnd"/>
      <w:r>
        <w:t xml:space="preserve"> Predicted </w:t>
      </w:r>
      <w:proofErr w:type="spellStart"/>
      <w:r>
        <w:t>Chl</w:t>
      </w:r>
      <w:proofErr w:type="spellEnd"/>
      <w:r>
        <w:t xml:space="preserve"> </w:t>
      </w:r>
      <w:r>
        <w:rPr>
          <w:i/>
        </w:rPr>
        <w:t>a</w:t>
      </w:r>
      <w:r>
        <w:t xml:space="preserve"> vs. Observed </w:t>
      </w:r>
      <w:proofErr w:type="spellStart"/>
      <w:r>
        <w:t>Chl</w:t>
      </w:r>
      <w:proofErr w:type="spellEnd"/>
      <w:r>
        <w:t xml:space="preserve"> </w:t>
      </w:r>
      <w:r>
        <w:rPr>
          <w:i/>
        </w:rPr>
        <w:t xml:space="preserve">a </w:t>
      </w:r>
      <w:r>
        <w:t>for PC Regression, TN, TP and TN+TP</w:t>
      </w:r>
    </w:p>
    <w:p w:rsidR="00AE5E6D" w:rsidRDefault="00AE5E6D" w:rsidP="00357891">
      <w:pPr>
        <w:rPr>
          <w:i/>
        </w:rPr>
      </w:pPr>
      <w:r>
        <w:rPr>
          <w:i/>
        </w:rPr>
        <w:t>Regional Differences</w:t>
      </w:r>
    </w:p>
    <w:p w:rsidR="00AE5E6D" w:rsidRPr="00AE5E6D" w:rsidRDefault="00AE5E6D" w:rsidP="00357891">
      <w:proofErr w:type="gramStart"/>
      <w:r>
        <w:t>Fig 5.</w:t>
      </w:r>
      <w:proofErr w:type="gramEnd"/>
      <w:r>
        <w:t xml:space="preserve"> </w:t>
      </w:r>
      <w:proofErr w:type="spellStart"/>
      <w:r>
        <w:t>Scatterplot</w:t>
      </w:r>
      <w:proofErr w:type="spellEnd"/>
      <w:r>
        <w:t xml:space="preserve"> of TN, TP, and </w:t>
      </w:r>
      <w:proofErr w:type="spellStart"/>
      <w:r>
        <w:t>Chl</w:t>
      </w:r>
      <w:proofErr w:type="spellEnd"/>
      <w:r>
        <w:t xml:space="preserve"> </w:t>
      </w:r>
      <w:r>
        <w:rPr>
          <w:i/>
        </w:rPr>
        <w:t>a</w:t>
      </w:r>
      <w:r>
        <w:t xml:space="preserve"> showing skew in Northern Plains (NPL) </w:t>
      </w:r>
      <w:proofErr w:type="spellStart"/>
      <w:r>
        <w:t>ecoregion</w:t>
      </w:r>
      <w:proofErr w:type="spellEnd"/>
    </w:p>
    <w:p w:rsidR="00037887" w:rsidRDefault="00AE5E6D" w:rsidP="00357891">
      <w:pPr>
        <w:rPr>
          <w:i/>
        </w:rPr>
      </w:pPr>
      <w:r>
        <w:rPr>
          <w:i/>
        </w:rPr>
        <w:t>Final Model</w:t>
      </w:r>
    </w:p>
    <w:p w:rsidR="00AE5E6D" w:rsidRPr="00AE5E6D" w:rsidRDefault="00AE5E6D" w:rsidP="00357891">
      <w:r>
        <w:t>Formulas: With NPL and Without NPL</w:t>
      </w:r>
    </w:p>
    <w:p w:rsidR="00C07A67" w:rsidRDefault="00E375FC" w:rsidP="00357891">
      <w:pPr>
        <w:pStyle w:val="Heading1"/>
      </w:pPr>
      <w:r>
        <w:t>References</w:t>
      </w:r>
    </w:p>
    <w:p w:rsidR="003B6F25" w:rsidRPr="003B6F25" w:rsidRDefault="00CA6A1E" w:rsidP="003B6F25">
      <w:pPr>
        <w:pStyle w:val="Bibliography"/>
        <w:rPr>
          <w:rFonts w:cs="Times New Roman"/>
          <w:sz w:val="22"/>
        </w:rPr>
      </w:pPr>
      <w:r>
        <w:fldChar w:fldCharType="begin"/>
      </w:r>
      <w:r w:rsidR="00C11DD0">
        <w:instrText xml:space="preserve"> ADDIN ZOTERO_BIBL {"custom":[]} CSL_BIBLIOGRAPHY </w:instrText>
      </w:r>
      <w:r>
        <w:fldChar w:fldCharType="separate"/>
      </w:r>
      <w:r w:rsidR="003B6F25" w:rsidRPr="003B6F25">
        <w:rPr>
          <w:rFonts w:cs="Times New Roman"/>
          <w:sz w:val="22"/>
        </w:rPr>
        <w:t xml:space="preserve">Crowley, K.F., McNeil, B.E., Lovett, G.M., </w:t>
      </w:r>
      <w:proofErr w:type="spellStart"/>
      <w:r w:rsidR="003B6F25" w:rsidRPr="003B6F25">
        <w:rPr>
          <w:rFonts w:cs="Times New Roman"/>
          <w:sz w:val="22"/>
        </w:rPr>
        <w:t>Canham</w:t>
      </w:r>
      <w:proofErr w:type="spellEnd"/>
      <w:r w:rsidR="003B6F25" w:rsidRPr="003B6F25">
        <w:rPr>
          <w:rFonts w:cs="Times New Roman"/>
          <w:sz w:val="22"/>
        </w:rPr>
        <w:t xml:space="preserve">, C.D., Driscoll, C.T., </w:t>
      </w:r>
      <w:proofErr w:type="spellStart"/>
      <w:r w:rsidR="003B6F25" w:rsidRPr="003B6F25">
        <w:rPr>
          <w:rFonts w:cs="Times New Roman"/>
          <w:sz w:val="22"/>
        </w:rPr>
        <w:t>Rustad</w:t>
      </w:r>
      <w:proofErr w:type="spellEnd"/>
      <w:r w:rsidR="003B6F25" w:rsidRPr="003B6F25">
        <w:rPr>
          <w:rFonts w:cs="Times New Roman"/>
          <w:sz w:val="22"/>
        </w:rPr>
        <w:t xml:space="preserve">, L.E., Denny, E., </w:t>
      </w:r>
      <w:proofErr w:type="spellStart"/>
      <w:r w:rsidR="003B6F25" w:rsidRPr="003B6F25">
        <w:rPr>
          <w:rFonts w:cs="Times New Roman"/>
          <w:sz w:val="22"/>
        </w:rPr>
        <w:t>Hallett</w:t>
      </w:r>
      <w:proofErr w:type="spellEnd"/>
      <w:r w:rsidR="003B6F25" w:rsidRPr="003B6F25">
        <w:rPr>
          <w:rFonts w:cs="Times New Roman"/>
          <w:sz w:val="22"/>
        </w:rPr>
        <w:t xml:space="preserve">, R.A., Arthur, M.A., Boggs, J.L., et al. (2012). Do Nutrient Limitation Patterns Shift from Nitrogen Toward Phosphorus with Increasing Nitrogen Deposition Across the Northeastern United States? Ecosystems </w:t>
      </w:r>
      <w:r w:rsidR="003B6F25" w:rsidRPr="003B6F25">
        <w:rPr>
          <w:rFonts w:cs="Times New Roman"/>
          <w:i/>
          <w:iCs/>
          <w:sz w:val="22"/>
        </w:rPr>
        <w:t>15</w:t>
      </w:r>
      <w:r w:rsidR="003B6F25" w:rsidRPr="003B6F25">
        <w:rPr>
          <w:rFonts w:cs="Times New Roman"/>
          <w:sz w:val="22"/>
        </w:rPr>
        <w:t>, 940–957.</w:t>
      </w:r>
    </w:p>
    <w:p w:rsidR="003B6F25" w:rsidRPr="003B6F25" w:rsidRDefault="003B6F25" w:rsidP="003B6F25">
      <w:pPr>
        <w:pStyle w:val="Bibliography"/>
        <w:rPr>
          <w:rFonts w:cs="Times New Roman"/>
          <w:sz w:val="22"/>
        </w:rPr>
      </w:pPr>
      <w:proofErr w:type="gramStart"/>
      <w:r w:rsidRPr="003B6F25">
        <w:rPr>
          <w:rFonts w:cs="Times New Roman"/>
          <w:sz w:val="22"/>
        </w:rPr>
        <w:t xml:space="preserve">Dillon, P.J., and </w:t>
      </w:r>
      <w:proofErr w:type="spellStart"/>
      <w:r w:rsidRPr="003B6F25">
        <w:rPr>
          <w:rFonts w:cs="Times New Roman"/>
          <w:sz w:val="22"/>
        </w:rPr>
        <w:t>Rigler</w:t>
      </w:r>
      <w:proofErr w:type="spellEnd"/>
      <w:r w:rsidRPr="003B6F25">
        <w:rPr>
          <w:rFonts w:cs="Times New Roman"/>
          <w:sz w:val="22"/>
        </w:rPr>
        <w:t>, F.H. (1974).</w:t>
      </w:r>
      <w:proofErr w:type="gramEnd"/>
      <w:r w:rsidRPr="003B6F25">
        <w:rPr>
          <w:rFonts w:cs="Times New Roman"/>
          <w:sz w:val="22"/>
        </w:rPr>
        <w:t xml:space="preserve"> </w:t>
      </w:r>
      <w:proofErr w:type="gramStart"/>
      <w:r w:rsidRPr="003B6F25">
        <w:rPr>
          <w:rFonts w:cs="Times New Roman"/>
          <w:sz w:val="22"/>
        </w:rPr>
        <w:t>The phosphorus-chlorophyll relationship in lakes.</w:t>
      </w:r>
      <w:proofErr w:type="gramEnd"/>
      <w:r w:rsidRPr="003B6F25">
        <w:rPr>
          <w:rFonts w:cs="Times New Roman"/>
          <w:sz w:val="22"/>
        </w:rPr>
        <w:t xml:space="preserve"> </w:t>
      </w:r>
      <w:proofErr w:type="spellStart"/>
      <w:proofErr w:type="gramStart"/>
      <w:r w:rsidRPr="003B6F25">
        <w:rPr>
          <w:rFonts w:cs="Times New Roman"/>
          <w:sz w:val="22"/>
        </w:rPr>
        <w:t>Limnol</w:t>
      </w:r>
      <w:proofErr w:type="spellEnd"/>
      <w:r w:rsidRPr="003B6F25">
        <w:rPr>
          <w:rFonts w:cs="Times New Roman"/>
          <w:sz w:val="22"/>
        </w:rPr>
        <w:t xml:space="preserve"> Ocean.</w:t>
      </w:r>
      <w:proofErr w:type="gramEnd"/>
      <w:r w:rsidRPr="003B6F25">
        <w:rPr>
          <w:rFonts w:cs="Times New Roman"/>
          <w:sz w:val="22"/>
        </w:rPr>
        <w:t xml:space="preserve"> </w:t>
      </w:r>
      <w:r w:rsidRPr="003B6F25">
        <w:rPr>
          <w:rFonts w:cs="Times New Roman"/>
          <w:i/>
          <w:iCs/>
          <w:sz w:val="22"/>
        </w:rPr>
        <w:t>19</w:t>
      </w:r>
      <w:r w:rsidRPr="003B6F25">
        <w:rPr>
          <w:rFonts w:cs="Times New Roman"/>
          <w:sz w:val="22"/>
        </w:rPr>
        <w:t>, 767–773.</w:t>
      </w:r>
    </w:p>
    <w:p w:rsidR="003B6F25" w:rsidRPr="003B6F25" w:rsidRDefault="003B6F25" w:rsidP="003B6F25">
      <w:pPr>
        <w:pStyle w:val="Bibliography"/>
        <w:rPr>
          <w:rFonts w:cs="Times New Roman"/>
          <w:sz w:val="22"/>
        </w:rPr>
      </w:pPr>
      <w:proofErr w:type="spellStart"/>
      <w:proofErr w:type="gramStart"/>
      <w:r w:rsidRPr="003B6F25">
        <w:rPr>
          <w:rFonts w:cs="Times New Roman"/>
          <w:sz w:val="22"/>
        </w:rPr>
        <w:t>Dimberg</w:t>
      </w:r>
      <w:proofErr w:type="spellEnd"/>
      <w:r w:rsidRPr="003B6F25">
        <w:rPr>
          <w:rFonts w:cs="Times New Roman"/>
          <w:sz w:val="22"/>
        </w:rPr>
        <w:t xml:space="preserve">, P.H., </w:t>
      </w:r>
      <w:proofErr w:type="spellStart"/>
      <w:r w:rsidRPr="003B6F25">
        <w:rPr>
          <w:rFonts w:cs="Times New Roman"/>
          <w:sz w:val="22"/>
        </w:rPr>
        <w:t>Hytteborn</w:t>
      </w:r>
      <w:proofErr w:type="spellEnd"/>
      <w:r w:rsidRPr="003B6F25">
        <w:rPr>
          <w:rFonts w:cs="Times New Roman"/>
          <w:sz w:val="22"/>
        </w:rPr>
        <w:t xml:space="preserve">, J.K., and </w:t>
      </w:r>
      <w:proofErr w:type="spellStart"/>
      <w:r w:rsidRPr="003B6F25">
        <w:rPr>
          <w:rFonts w:cs="Times New Roman"/>
          <w:sz w:val="22"/>
        </w:rPr>
        <w:t>Bryhn</w:t>
      </w:r>
      <w:proofErr w:type="spellEnd"/>
      <w:r w:rsidRPr="003B6F25">
        <w:rPr>
          <w:rFonts w:cs="Times New Roman"/>
          <w:sz w:val="22"/>
        </w:rPr>
        <w:t>, A.C. (2013).</w:t>
      </w:r>
      <w:proofErr w:type="gramEnd"/>
      <w:r w:rsidRPr="003B6F25">
        <w:rPr>
          <w:rFonts w:cs="Times New Roman"/>
          <w:sz w:val="22"/>
        </w:rPr>
        <w:t xml:space="preserve"> Predicting median monthly chlorophyll-</w:t>
      </w:r>
      <w:proofErr w:type="gramStart"/>
      <w:r w:rsidRPr="003B6F25">
        <w:rPr>
          <w:rFonts w:cs="Times New Roman"/>
          <w:sz w:val="22"/>
        </w:rPr>
        <w:t>a concentrations</w:t>
      </w:r>
      <w:proofErr w:type="gramEnd"/>
      <w:r w:rsidRPr="003B6F25">
        <w:rPr>
          <w:rFonts w:cs="Times New Roman"/>
          <w:sz w:val="22"/>
        </w:rPr>
        <w:t xml:space="preserve">. </w:t>
      </w:r>
      <w:proofErr w:type="spellStart"/>
      <w:proofErr w:type="gramStart"/>
      <w:r w:rsidRPr="003B6F25">
        <w:rPr>
          <w:rFonts w:cs="Times New Roman"/>
          <w:sz w:val="22"/>
        </w:rPr>
        <w:t>Limnol</w:t>
      </w:r>
      <w:proofErr w:type="spellEnd"/>
      <w:r w:rsidRPr="003B6F25">
        <w:rPr>
          <w:rFonts w:cs="Times New Roman"/>
          <w:sz w:val="22"/>
        </w:rPr>
        <w:t>.</w:t>
      </w:r>
      <w:proofErr w:type="gramEnd"/>
      <w:r w:rsidRPr="003B6F25">
        <w:rPr>
          <w:rFonts w:cs="Times New Roman"/>
          <w:sz w:val="22"/>
        </w:rPr>
        <w:t xml:space="preserve"> - Ecol. </w:t>
      </w:r>
      <w:proofErr w:type="spellStart"/>
      <w:r w:rsidRPr="003B6F25">
        <w:rPr>
          <w:rFonts w:cs="Times New Roman"/>
          <w:sz w:val="22"/>
        </w:rPr>
        <w:t>Manag</w:t>
      </w:r>
      <w:proofErr w:type="spellEnd"/>
      <w:r w:rsidRPr="003B6F25">
        <w:rPr>
          <w:rFonts w:cs="Times New Roman"/>
          <w:sz w:val="22"/>
        </w:rPr>
        <w:t xml:space="preserve">. Inland Waters </w:t>
      </w:r>
      <w:r w:rsidRPr="003B6F25">
        <w:rPr>
          <w:rFonts w:cs="Times New Roman"/>
          <w:i/>
          <w:iCs/>
          <w:sz w:val="22"/>
        </w:rPr>
        <w:t>43</w:t>
      </w:r>
      <w:r w:rsidRPr="003B6F25">
        <w:rPr>
          <w:rFonts w:cs="Times New Roman"/>
          <w:sz w:val="22"/>
        </w:rPr>
        <w:t>, 169–176.</w:t>
      </w:r>
    </w:p>
    <w:p w:rsidR="003B6F25" w:rsidRPr="003B6F25" w:rsidRDefault="003B6F25" w:rsidP="003B6F25">
      <w:pPr>
        <w:pStyle w:val="Bibliography"/>
        <w:rPr>
          <w:rFonts w:cs="Times New Roman"/>
          <w:sz w:val="22"/>
        </w:rPr>
      </w:pPr>
      <w:proofErr w:type="spellStart"/>
      <w:proofErr w:type="gramStart"/>
      <w:r w:rsidRPr="003B6F25">
        <w:rPr>
          <w:rFonts w:cs="Times New Roman"/>
          <w:sz w:val="22"/>
        </w:rPr>
        <w:t>Dzialowski</w:t>
      </w:r>
      <w:proofErr w:type="spellEnd"/>
      <w:r w:rsidRPr="003B6F25">
        <w:rPr>
          <w:rFonts w:cs="Times New Roman"/>
          <w:sz w:val="22"/>
        </w:rPr>
        <w:t xml:space="preserve">, A.R., Wang, S.-H., Lim, N.-C., </w:t>
      </w:r>
      <w:proofErr w:type="spellStart"/>
      <w:r w:rsidRPr="003B6F25">
        <w:rPr>
          <w:rFonts w:cs="Times New Roman"/>
          <w:sz w:val="22"/>
        </w:rPr>
        <w:t>Spotts</w:t>
      </w:r>
      <w:proofErr w:type="spellEnd"/>
      <w:r w:rsidRPr="003B6F25">
        <w:rPr>
          <w:rFonts w:cs="Times New Roman"/>
          <w:sz w:val="22"/>
        </w:rPr>
        <w:t>, W.W., and Huggins, D.G. (2005).</w:t>
      </w:r>
      <w:proofErr w:type="gramEnd"/>
      <w:r w:rsidRPr="003B6F25">
        <w:rPr>
          <w:rFonts w:cs="Times New Roman"/>
          <w:sz w:val="22"/>
        </w:rPr>
        <w:t xml:space="preserve"> </w:t>
      </w:r>
      <w:proofErr w:type="gramStart"/>
      <w:r w:rsidRPr="003B6F25">
        <w:rPr>
          <w:rFonts w:cs="Times New Roman"/>
          <w:sz w:val="22"/>
        </w:rPr>
        <w:t>Nutrient limitation of phytoplankton growth in central plains reservoirs, USA.</w:t>
      </w:r>
      <w:proofErr w:type="gramEnd"/>
      <w:r w:rsidRPr="003B6F25">
        <w:rPr>
          <w:rFonts w:cs="Times New Roman"/>
          <w:sz w:val="22"/>
        </w:rPr>
        <w:t xml:space="preserve"> J. Plankton Res. </w:t>
      </w:r>
      <w:r w:rsidRPr="003B6F25">
        <w:rPr>
          <w:rFonts w:cs="Times New Roman"/>
          <w:i/>
          <w:iCs/>
          <w:sz w:val="22"/>
        </w:rPr>
        <w:t>27</w:t>
      </w:r>
      <w:r w:rsidRPr="003B6F25">
        <w:rPr>
          <w:rFonts w:cs="Times New Roman"/>
          <w:sz w:val="22"/>
        </w:rPr>
        <w:t>, 587–595.</w:t>
      </w:r>
    </w:p>
    <w:p w:rsidR="003B6F25" w:rsidRPr="003B6F25" w:rsidRDefault="003B6F25" w:rsidP="003B6F25">
      <w:pPr>
        <w:pStyle w:val="Bibliography"/>
        <w:rPr>
          <w:rFonts w:cs="Times New Roman"/>
          <w:sz w:val="22"/>
        </w:rPr>
      </w:pPr>
      <w:proofErr w:type="spellStart"/>
      <w:proofErr w:type="gramStart"/>
      <w:r w:rsidRPr="003B6F25">
        <w:rPr>
          <w:rFonts w:cs="Times New Roman"/>
          <w:sz w:val="22"/>
        </w:rPr>
        <w:t>Elser</w:t>
      </w:r>
      <w:proofErr w:type="spellEnd"/>
      <w:r w:rsidRPr="003B6F25">
        <w:rPr>
          <w:rFonts w:cs="Times New Roman"/>
          <w:sz w:val="22"/>
        </w:rPr>
        <w:t xml:space="preserve">, J.J., </w:t>
      </w:r>
      <w:proofErr w:type="spellStart"/>
      <w:r w:rsidRPr="003B6F25">
        <w:rPr>
          <w:rFonts w:cs="Times New Roman"/>
          <w:sz w:val="22"/>
        </w:rPr>
        <w:t>Marzolf</w:t>
      </w:r>
      <w:proofErr w:type="spellEnd"/>
      <w:r w:rsidRPr="003B6F25">
        <w:rPr>
          <w:rFonts w:cs="Times New Roman"/>
          <w:sz w:val="22"/>
        </w:rPr>
        <w:t>, E.R., and Goldman, C.R. (1990).</w:t>
      </w:r>
      <w:proofErr w:type="gramEnd"/>
      <w:r w:rsidRPr="003B6F25">
        <w:rPr>
          <w:rFonts w:cs="Times New Roman"/>
          <w:sz w:val="22"/>
        </w:rPr>
        <w:t xml:space="preserve"> Phosphorus and Nitrogen Limitation of Phytoplankton Growth in the Freshwaters of North America: A Review and Critique of Experimental Enrichments. </w:t>
      </w:r>
      <w:proofErr w:type="gramStart"/>
      <w:r w:rsidRPr="003B6F25">
        <w:rPr>
          <w:rFonts w:cs="Times New Roman"/>
          <w:sz w:val="22"/>
        </w:rPr>
        <w:t>Can. J. Fish.</w:t>
      </w:r>
      <w:proofErr w:type="gramEnd"/>
      <w:r w:rsidRPr="003B6F25">
        <w:rPr>
          <w:rFonts w:cs="Times New Roman"/>
          <w:sz w:val="22"/>
        </w:rPr>
        <w:t xml:space="preserve"> </w:t>
      </w:r>
      <w:proofErr w:type="spellStart"/>
      <w:proofErr w:type="gramStart"/>
      <w:r w:rsidRPr="003B6F25">
        <w:rPr>
          <w:rFonts w:cs="Times New Roman"/>
          <w:sz w:val="22"/>
        </w:rPr>
        <w:t>Aquat</w:t>
      </w:r>
      <w:proofErr w:type="spellEnd"/>
      <w:r w:rsidRPr="003B6F25">
        <w:rPr>
          <w:rFonts w:cs="Times New Roman"/>
          <w:sz w:val="22"/>
        </w:rPr>
        <w:t>.</w:t>
      </w:r>
      <w:proofErr w:type="gramEnd"/>
      <w:r w:rsidRPr="003B6F25">
        <w:rPr>
          <w:rFonts w:cs="Times New Roman"/>
          <w:sz w:val="22"/>
        </w:rPr>
        <w:t xml:space="preserve"> Sci. </w:t>
      </w:r>
      <w:r w:rsidRPr="003B6F25">
        <w:rPr>
          <w:rFonts w:cs="Times New Roman"/>
          <w:i/>
          <w:iCs/>
          <w:sz w:val="22"/>
        </w:rPr>
        <w:t>47</w:t>
      </w:r>
      <w:r w:rsidRPr="003B6F25">
        <w:rPr>
          <w:rFonts w:cs="Times New Roman"/>
          <w:sz w:val="22"/>
        </w:rPr>
        <w:t>, 1468–1477.</w:t>
      </w:r>
    </w:p>
    <w:p w:rsidR="003B6F25" w:rsidRPr="003B6F25" w:rsidRDefault="003B6F25" w:rsidP="003B6F25">
      <w:pPr>
        <w:pStyle w:val="Bibliography"/>
        <w:rPr>
          <w:rFonts w:cs="Times New Roman"/>
          <w:sz w:val="22"/>
        </w:rPr>
      </w:pPr>
      <w:proofErr w:type="spellStart"/>
      <w:r w:rsidRPr="003B6F25">
        <w:rPr>
          <w:rFonts w:cs="Times New Roman"/>
          <w:sz w:val="22"/>
        </w:rPr>
        <w:t>Elser</w:t>
      </w:r>
      <w:proofErr w:type="spellEnd"/>
      <w:r w:rsidRPr="003B6F25">
        <w:rPr>
          <w:rFonts w:cs="Times New Roman"/>
          <w:sz w:val="22"/>
        </w:rPr>
        <w:t xml:space="preserve">, J.J., Bracken, M.E.S., Cleland, E.E., </w:t>
      </w:r>
      <w:proofErr w:type="spellStart"/>
      <w:r w:rsidRPr="003B6F25">
        <w:rPr>
          <w:rFonts w:cs="Times New Roman"/>
          <w:sz w:val="22"/>
        </w:rPr>
        <w:t>Gruner</w:t>
      </w:r>
      <w:proofErr w:type="spellEnd"/>
      <w:r w:rsidRPr="003B6F25">
        <w:rPr>
          <w:rFonts w:cs="Times New Roman"/>
          <w:sz w:val="22"/>
        </w:rPr>
        <w:t xml:space="preserve">, D.S., </w:t>
      </w:r>
      <w:proofErr w:type="spellStart"/>
      <w:r w:rsidRPr="003B6F25">
        <w:rPr>
          <w:rFonts w:cs="Times New Roman"/>
          <w:sz w:val="22"/>
        </w:rPr>
        <w:t>Harpole</w:t>
      </w:r>
      <w:proofErr w:type="spellEnd"/>
      <w:r w:rsidRPr="003B6F25">
        <w:rPr>
          <w:rFonts w:cs="Times New Roman"/>
          <w:sz w:val="22"/>
        </w:rPr>
        <w:t xml:space="preserve">, W.S., </w:t>
      </w:r>
      <w:proofErr w:type="spellStart"/>
      <w:r w:rsidRPr="003B6F25">
        <w:rPr>
          <w:rFonts w:cs="Times New Roman"/>
          <w:sz w:val="22"/>
        </w:rPr>
        <w:t>Hillebrand</w:t>
      </w:r>
      <w:proofErr w:type="spellEnd"/>
      <w:r w:rsidRPr="003B6F25">
        <w:rPr>
          <w:rFonts w:cs="Times New Roman"/>
          <w:sz w:val="22"/>
        </w:rPr>
        <w:t xml:space="preserve">, H., </w:t>
      </w:r>
      <w:proofErr w:type="spellStart"/>
      <w:r w:rsidRPr="003B6F25">
        <w:rPr>
          <w:rFonts w:cs="Times New Roman"/>
          <w:sz w:val="22"/>
        </w:rPr>
        <w:t>Ngai</w:t>
      </w:r>
      <w:proofErr w:type="spellEnd"/>
      <w:r w:rsidRPr="003B6F25">
        <w:rPr>
          <w:rFonts w:cs="Times New Roman"/>
          <w:sz w:val="22"/>
        </w:rPr>
        <w:t xml:space="preserve">, J.T., </w:t>
      </w:r>
      <w:proofErr w:type="spellStart"/>
      <w:r w:rsidRPr="003B6F25">
        <w:rPr>
          <w:rFonts w:cs="Times New Roman"/>
          <w:sz w:val="22"/>
        </w:rPr>
        <w:t>Seabloom</w:t>
      </w:r>
      <w:proofErr w:type="spellEnd"/>
      <w:r w:rsidRPr="003B6F25">
        <w:rPr>
          <w:rFonts w:cs="Times New Roman"/>
          <w:sz w:val="22"/>
        </w:rPr>
        <w:t xml:space="preserve">, E.W., </w:t>
      </w:r>
      <w:proofErr w:type="spellStart"/>
      <w:r w:rsidRPr="003B6F25">
        <w:rPr>
          <w:rFonts w:cs="Times New Roman"/>
          <w:sz w:val="22"/>
        </w:rPr>
        <w:t>Shurin</w:t>
      </w:r>
      <w:proofErr w:type="spellEnd"/>
      <w:r w:rsidRPr="003B6F25">
        <w:rPr>
          <w:rFonts w:cs="Times New Roman"/>
          <w:sz w:val="22"/>
        </w:rPr>
        <w:t xml:space="preserve">, J.B., and Smith, J.E. (2007). </w:t>
      </w:r>
      <w:proofErr w:type="gramStart"/>
      <w:r w:rsidRPr="003B6F25">
        <w:rPr>
          <w:rFonts w:cs="Times New Roman"/>
          <w:sz w:val="22"/>
        </w:rPr>
        <w:t>Global analysis of nitrogen and phosphorus limitation of primary producers in freshwater, marine and terrestrial ecosystems.</w:t>
      </w:r>
      <w:proofErr w:type="gramEnd"/>
      <w:r w:rsidRPr="003B6F25">
        <w:rPr>
          <w:rFonts w:cs="Times New Roman"/>
          <w:sz w:val="22"/>
        </w:rPr>
        <w:t xml:space="preserve"> Ecol. </w:t>
      </w:r>
      <w:proofErr w:type="spellStart"/>
      <w:r w:rsidRPr="003B6F25">
        <w:rPr>
          <w:rFonts w:cs="Times New Roman"/>
          <w:sz w:val="22"/>
        </w:rPr>
        <w:t>Lett</w:t>
      </w:r>
      <w:proofErr w:type="spellEnd"/>
      <w:r w:rsidRPr="003B6F25">
        <w:rPr>
          <w:rFonts w:cs="Times New Roman"/>
          <w:sz w:val="22"/>
        </w:rPr>
        <w:t xml:space="preserve">. </w:t>
      </w:r>
      <w:r w:rsidRPr="003B6F25">
        <w:rPr>
          <w:rFonts w:cs="Times New Roman"/>
          <w:i/>
          <w:iCs/>
          <w:sz w:val="22"/>
        </w:rPr>
        <w:t>10</w:t>
      </w:r>
      <w:r w:rsidRPr="003B6F25">
        <w:rPr>
          <w:rFonts w:cs="Times New Roman"/>
          <w:sz w:val="22"/>
        </w:rPr>
        <w:t>, 1135–1142.</w:t>
      </w:r>
    </w:p>
    <w:p w:rsidR="003B6F25" w:rsidRPr="003B6F25" w:rsidRDefault="003B6F25" w:rsidP="003B6F25">
      <w:pPr>
        <w:pStyle w:val="Bibliography"/>
        <w:rPr>
          <w:rFonts w:cs="Times New Roman"/>
          <w:sz w:val="22"/>
        </w:rPr>
      </w:pPr>
      <w:proofErr w:type="spellStart"/>
      <w:proofErr w:type="gramStart"/>
      <w:r w:rsidRPr="003B6F25">
        <w:rPr>
          <w:rFonts w:cs="Times New Roman"/>
          <w:sz w:val="22"/>
        </w:rPr>
        <w:t>Hambrook</w:t>
      </w:r>
      <w:proofErr w:type="spellEnd"/>
      <w:r w:rsidRPr="003B6F25">
        <w:rPr>
          <w:rFonts w:cs="Times New Roman"/>
          <w:sz w:val="22"/>
        </w:rPr>
        <w:t xml:space="preserve"> </w:t>
      </w:r>
      <w:proofErr w:type="spellStart"/>
      <w:r w:rsidRPr="003B6F25">
        <w:rPr>
          <w:rFonts w:cs="Times New Roman"/>
          <w:sz w:val="22"/>
        </w:rPr>
        <w:t>Berkman</w:t>
      </w:r>
      <w:proofErr w:type="spellEnd"/>
      <w:r w:rsidRPr="003B6F25">
        <w:rPr>
          <w:rFonts w:cs="Times New Roman"/>
          <w:sz w:val="22"/>
        </w:rPr>
        <w:t>, J., and Canova, M. (2007).</w:t>
      </w:r>
      <w:proofErr w:type="gramEnd"/>
      <w:r w:rsidRPr="003B6F25">
        <w:rPr>
          <w:rFonts w:cs="Times New Roman"/>
          <w:sz w:val="22"/>
        </w:rPr>
        <w:t xml:space="preserve"> Algal biomass indicators (ver. 1.0): U.S. Geological Survey Techniques of Water-Resources Investigations, book 9, chap. A7, section 7.4</w:t>
      </w:r>
      <w:proofErr w:type="gramStart"/>
      <w:r w:rsidRPr="003B6F25">
        <w:rPr>
          <w:rFonts w:cs="Times New Roman"/>
          <w:sz w:val="22"/>
        </w:rPr>
        <w:t>,.</w:t>
      </w:r>
      <w:proofErr w:type="gramEnd"/>
    </w:p>
    <w:p w:rsidR="003B6F25" w:rsidRPr="003B6F25" w:rsidRDefault="003B6F25" w:rsidP="003B6F25">
      <w:pPr>
        <w:pStyle w:val="Bibliography"/>
        <w:rPr>
          <w:rFonts w:cs="Times New Roman"/>
          <w:sz w:val="22"/>
        </w:rPr>
      </w:pPr>
      <w:proofErr w:type="gramStart"/>
      <w:r w:rsidRPr="003B6F25">
        <w:rPr>
          <w:rFonts w:cs="Times New Roman"/>
          <w:sz w:val="22"/>
        </w:rPr>
        <w:t>Hollister, J.W., Gonzalez, M.L., Paul, J.F., August, P.V., and Copeland, J.L. (2004).</w:t>
      </w:r>
      <w:proofErr w:type="gramEnd"/>
      <w:r w:rsidRPr="003B6F25">
        <w:rPr>
          <w:rFonts w:cs="Times New Roman"/>
          <w:sz w:val="22"/>
        </w:rPr>
        <w:t xml:space="preserve"> Assessing the accuracy of National Land Cover Dataset area estimates at multiple spatial extents. </w:t>
      </w:r>
      <w:proofErr w:type="spellStart"/>
      <w:proofErr w:type="gramStart"/>
      <w:r w:rsidRPr="003B6F25">
        <w:rPr>
          <w:rFonts w:cs="Times New Roman"/>
          <w:sz w:val="22"/>
        </w:rPr>
        <w:t>Photogramm</w:t>
      </w:r>
      <w:proofErr w:type="spellEnd"/>
      <w:r w:rsidRPr="003B6F25">
        <w:rPr>
          <w:rFonts w:cs="Times New Roman"/>
          <w:sz w:val="22"/>
        </w:rPr>
        <w:t>.</w:t>
      </w:r>
      <w:proofErr w:type="gramEnd"/>
      <w:r w:rsidRPr="003B6F25">
        <w:rPr>
          <w:rFonts w:cs="Times New Roman"/>
          <w:sz w:val="22"/>
        </w:rPr>
        <w:t xml:space="preserve"> Eng. Remote Sens. </w:t>
      </w:r>
      <w:r w:rsidRPr="003B6F25">
        <w:rPr>
          <w:rFonts w:cs="Times New Roman"/>
          <w:i/>
          <w:iCs/>
          <w:sz w:val="22"/>
        </w:rPr>
        <w:t>70</w:t>
      </w:r>
      <w:r w:rsidRPr="003B6F25">
        <w:rPr>
          <w:rFonts w:cs="Times New Roman"/>
          <w:sz w:val="22"/>
        </w:rPr>
        <w:t>, 405–414.</w:t>
      </w:r>
    </w:p>
    <w:p w:rsidR="003B6F25" w:rsidRPr="003B6F25" w:rsidRDefault="003B6F25" w:rsidP="003B6F25">
      <w:pPr>
        <w:pStyle w:val="Bibliography"/>
        <w:rPr>
          <w:rFonts w:cs="Times New Roman"/>
          <w:sz w:val="22"/>
        </w:rPr>
      </w:pPr>
      <w:proofErr w:type="gramStart"/>
      <w:r w:rsidRPr="003B6F25">
        <w:rPr>
          <w:rFonts w:cs="Times New Roman"/>
          <w:sz w:val="22"/>
        </w:rPr>
        <w:t xml:space="preserve">Kaiser, M.S., </w:t>
      </w:r>
      <w:proofErr w:type="spellStart"/>
      <w:r w:rsidRPr="003B6F25">
        <w:rPr>
          <w:rFonts w:cs="Times New Roman"/>
          <w:sz w:val="22"/>
        </w:rPr>
        <w:t>Speckman</w:t>
      </w:r>
      <w:proofErr w:type="spellEnd"/>
      <w:r w:rsidRPr="003B6F25">
        <w:rPr>
          <w:rFonts w:cs="Times New Roman"/>
          <w:sz w:val="22"/>
        </w:rPr>
        <w:t>, P.L., and Jones, J.R. (1994).</w:t>
      </w:r>
      <w:proofErr w:type="gramEnd"/>
      <w:r w:rsidRPr="003B6F25">
        <w:rPr>
          <w:rFonts w:cs="Times New Roman"/>
          <w:sz w:val="22"/>
        </w:rPr>
        <w:t xml:space="preserve"> </w:t>
      </w:r>
      <w:proofErr w:type="gramStart"/>
      <w:r w:rsidRPr="003B6F25">
        <w:rPr>
          <w:rFonts w:cs="Times New Roman"/>
          <w:sz w:val="22"/>
        </w:rPr>
        <w:t>Statistical Models for Limiting Nutrient Relations in Inland Waters.</w:t>
      </w:r>
      <w:proofErr w:type="gramEnd"/>
      <w:r w:rsidRPr="003B6F25">
        <w:rPr>
          <w:rFonts w:cs="Times New Roman"/>
          <w:sz w:val="22"/>
        </w:rPr>
        <w:t xml:space="preserve"> J. Am. Stat. Assoc. </w:t>
      </w:r>
      <w:r w:rsidRPr="003B6F25">
        <w:rPr>
          <w:rFonts w:cs="Times New Roman"/>
          <w:i/>
          <w:iCs/>
          <w:sz w:val="22"/>
        </w:rPr>
        <w:t>89</w:t>
      </w:r>
      <w:r w:rsidRPr="003B6F25">
        <w:rPr>
          <w:rFonts w:cs="Times New Roman"/>
          <w:sz w:val="22"/>
        </w:rPr>
        <w:t>, 410–423.</w:t>
      </w:r>
    </w:p>
    <w:p w:rsidR="003B6F25" w:rsidRPr="003B6F25" w:rsidRDefault="003B6F25" w:rsidP="003B6F25">
      <w:pPr>
        <w:pStyle w:val="Bibliography"/>
        <w:rPr>
          <w:rFonts w:cs="Times New Roman"/>
          <w:sz w:val="22"/>
        </w:rPr>
      </w:pPr>
      <w:proofErr w:type="spellStart"/>
      <w:proofErr w:type="gramStart"/>
      <w:r w:rsidRPr="003B6F25">
        <w:rPr>
          <w:rFonts w:cs="Times New Roman"/>
          <w:sz w:val="22"/>
        </w:rPr>
        <w:t>Maberly</w:t>
      </w:r>
      <w:proofErr w:type="spellEnd"/>
      <w:r w:rsidRPr="003B6F25">
        <w:rPr>
          <w:rFonts w:cs="Times New Roman"/>
          <w:sz w:val="22"/>
        </w:rPr>
        <w:t>, S.C., King, L., Dent, M.M., Jones, R.I., and Gibson, C.E. (2002).</w:t>
      </w:r>
      <w:proofErr w:type="gramEnd"/>
      <w:r w:rsidRPr="003B6F25">
        <w:rPr>
          <w:rFonts w:cs="Times New Roman"/>
          <w:sz w:val="22"/>
        </w:rPr>
        <w:t xml:space="preserve"> </w:t>
      </w:r>
      <w:proofErr w:type="gramStart"/>
      <w:r w:rsidRPr="003B6F25">
        <w:rPr>
          <w:rFonts w:cs="Times New Roman"/>
          <w:sz w:val="22"/>
        </w:rPr>
        <w:t xml:space="preserve">Nutrient limitation of </w:t>
      </w:r>
      <w:r w:rsidRPr="003B6F25">
        <w:rPr>
          <w:rFonts w:cs="Times New Roman"/>
          <w:sz w:val="22"/>
        </w:rPr>
        <w:lastRenderedPageBreak/>
        <w:t xml:space="preserve">phytoplankton and </w:t>
      </w:r>
      <w:proofErr w:type="spellStart"/>
      <w:r w:rsidRPr="003B6F25">
        <w:rPr>
          <w:rFonts w:cs="Times New Roman"/>
          <w:sz w:val="22"/>
        </w:rPr>
        <w:t>periphyton</w:t>
      </w:r>
      <w:proofErr w:type="spellEnd"/>
      <w:r w:rsidRPr="003B6F25">
        <w:rPr>
          <w:rFonts w:cs="Times New Roman"/>
          <w:sz w:val="22"/>
        </w:rPr>
        <w:t xml:space="preserve"> growth in upland lakes.</w:t>
      </w:r>
      <w:proofErr w:type="gramEnd"/>
      <w:r w:rsidRPr="003B6F25">
        <w:rPr>
          <w:rFonts w:cs="Times New Roman"/>
          <w:sz w:val="22"/>
        </w:rPr>
        <w:t xml:space="preserve"> </w:t>
      </w:r>
      <w:proofErr w:type="spellStart"/>
      <w:proofErr w:type="gramStart"/>
      <w:r w:rsidRPr="003B6F25">
        <w:rPr>
          <w:rFonts w:cs="Times New Roman"/>
          <w:sz w:val="22"/>
        </w:rPr>
        <w:t>Freshw</w:t>
      </w:r>
      <w:proofErr w:type="spellEnd"/>
      <w:r w:rsidRPr="003B6F25">
        <w:rPr>
          <w:rFonts w:cs="Times New Roman"/>
          <w:sz w:val="22"/>
        </w:rPr>
        <w:t>.</w:t>
      </w:r>
      <w:proofErr w:type="gramEnd"/>
      <w:r w:rsidRPr="003B6F25">
        <w:rPr>
          <w:rFonts w:cs="Times New Roman"/>
          <w:sz w:val="22"/>
        </w:rPr>
        <w:t xml:space="preserve"> </w:t>
      </w:r>
      <w:proofErr w:type="gramStart"/>
      <w:r w:rsidRPr="003B6F25">
        <w:rPr>
          <w:rFonts w:cs="Times New Roman"/>
          <w:sz w:val="22"/>
        </w:rPr>
        <w:t xml:space="preserve">Biol. </w:t>
      </w:r>
      <w:r w:rsidRPr="003B6F25">
        <w:rPr>
          <w:rFonts w:cs="Times New Roman"/>
          <w:i/>
          <w:iCs/>
          <w:sz w:val="22"/>
        </w:rPr>
        <w:t>47</w:t>
      </w:r>
      <w:r w:rsidRPr="003B6F25">
        <w:rPr>
          <w:rFonts w:cs="Times New Roman"/>
          <w:sz w:val="22"/>
        </w:rPr>
        <w:t>, 2136–2152.</w:t>
      </w:r>
      <w:proofErr w:type="gramEnd"/>
    </w:p>
    <w:p w:rsidR="003B6F25" w:rsidRPr="003B6F25" w:rsidRDefault="003B6F25" w:rsidP="003B6F25">
      <w:pPr>
        <w:pStyle w:val="Bibliography"/>
        <w:rPr>
          <w:rFonts w:cs="Times New Roman"/>
          <w:sz w:val="22"/>
        </w:rPr>
      </w:pPr>
      <w:proofErr w:type="spellStart"/>
      <w:proofErr w:type="gramStart"/>
      <w:r w:rsidRPr="003B6F25">
        <w:rPr>
          <w:rFonts w:cs="Times New Roman"/>
          <w:sz w:val="22"/>
        </w:rPr>
        <w:t>Næs</w:t>
      </w:r>
      <w:proofErr w:type="spellEnd"/>
      <w:r w:rsidRPr="003B6F25">
        <w:rPr>
          <w:rFonts w:cs="Times New Roman"/>
          <w:sz w:val="22"/>
        </w:rPr>
        <w:t xml:space="preserve">, T., and </w:t>
      </w:r>
      <w:proofErr w:type="spellStart"/>
      <w:r w:rsidRPr="003B6F25">
        <w:rPr>
          <w:rFonts w:cs="Times New Roman"/>
          <w:sz w:val="22"/>
        </w:rPr>
        <w:t>Mevik</w:t>
      </w:r>
      <w:proofErr w:type="spellEnd"/>
      <w:r w:rsidRPr="003B6F25">
        <w:rPr>
          <w:rFonts w:cs="Times New Roman"/>
          <w:sz w:val="22"/>
        </w:rPr>
        <w:t>, B.-H.</w:t>
      </w:r>
      <w:proofErr w:type="gramEnd"/>
      <w:r w:rsidRPr="003B6F25">
        <w:rPr>
          <w:rFonts w:cs="Times New Roman"/>
          <w:sz w:val="22"/>
        </w:rPr>
        <w:t xml:space="preserve"> (2001). Understanding the </w:t>
      </w:r>
      <w:proofErr w:type="spellStart"/>
      <w:r w:rsidRPr="003B6F25">
        <w:rPr>
          <w:rFonts w:cs="Times New Roman"/>
          <w:sz w:val="22"/>
        </w:rPr>
        <w:t>collinearity</w:t>
      </w:r>
      <w:proofErr w:type="spellEnd"/>
      <w:r w:rsidRPr="003B6F25">
        <w:rPr>
          <w:rFonts w:cs="Times New Roman"/>
          <w:sz w:val="22"/>
        </w:rPr>
        <w:t xml:space="preserve"> problem in regression and </w:t>
      </w:r>
      <w:proofErr w:type="spellStart"/>
      <w:r w:rsidRPr="003B6F25">
        <w:rPr>
          <w:rFonts w:cs="Times New Roman"/>
          <w:sz w:val="22"/>
        </w:rPr>
        <w:t>discriminant</w:t>
      </w:r>
      <w:proofErr w:type="spellEnd"/>
      <w:r w:rsidRPr="003B6F25">
        <w:rPr>
          <w:rFonts w:cs="Times New Roman"/>
          <w:sz w:val="22"/>
        </w:rPr>
        <w:t xml:space="preserve"> analysis. J. </w:t>
      </w:r>
      <w:proofErr w:type="spellStart"/>
      <w:r w:rsidRPr="003B6F25">
        <w:rPr>
          <w:rFonts w:cs="Times New Roman"/>
          <w:sz w:val="22"/>
        </w:rPr>
        <w:t>Chemom</w:t>
      </w:r>
      <w:proofErr w:type="spellEnd"/>
      <w:r w:rsidRPr="003B6F25">
        <w:rPr>
          <w:rFonts w:cs="Times New Roman"/>
          <w:sz w:val="22"/>
        </w:rPr>
        <w:t xml:space="preserve">. </w:t>
      </w:r>
      <w:r w:rsidRPr="003B6F25">
        <w:rPr>
          <w:rFonts w:cs="Times New Roman"/>
          <w:i/>
          <w:iCs/>
          <w:sz w:val="22"/>
        </w:rPr>
        <w:t>15</w:t>
      </w:r>
      <w:r w:rsidRPr="003B6F25">
        <w:rPr>
          <w:rFonts w:cs="Times New Roman"/>
          <w:sz w:val="22"/>
        </w:rPr>
        <w:t>, 413–426.</w:t>
      </w:r>
    </w:p>
    <w:p w:rsidR="003B6F25" w:rsidRPr="003B6F25" w:rsidRDefault="003B6F25" w:rsidP="003B6F25">
      <w:pPr>
        <w:pStyle w:val="Bibliography"/>
        <w:rPr>
          <w:rFonts w:cs="Times New Roman"/>
          <w:sz w:val="22"/>
        </w:rPr>
      </w:pPr>
      <w:proofErr w:type="gramStart"/>
      <w:r w:rsidRPr="003B6F25">
        <w:rPr>
          <w:rFonts w:cs="Times New Roman"/>
          <w:sz w:val="22"/>
        </w:rPr>
        <w:t xml:space="preserve">Prairie, Y.T., Duarte, C.M., and </w:t>
      </w:r>
      <w:proofErr w:type="spellStart"/>
      <w:r w:rsidRPr="003B6F25">
        <w:rPr>
          <w:rFonts w:cs="Times New Roman"/>
          <w:sz w:val="22"/>
        </w:rPr>
        <w:t>Kalff</w:t>
      </w:r>
      <w:proofErr w:type="spellEnd"/>
      <w:r w:rsidRPr="003B6F25">
        <w:rPr>
          <w:rFonts w:cs="Times New Roman"/>
          <w:sz w:val="22"/>
        </w:rPr>
        <w:t>, J. (1989).</w:t>
      </w:r>
      <w:proofErr w:type="gramEnd"/>
      <w:r w:rsidRPr="003B6F25">
        <w:rPr>
          <w:rFonts w:cs="Times New Roman"/>
          <w:sz w:val="22"/>
        </w:rPr>
        <w:t xml:space="preserve"> </w:t>
      </w:r>
      <w:proofErr w:type="gramStart"/>
      <w:r w:rsidRPr="003B6F25">
        <w:rPr>
          <w:rFonts w:cs="Times New Roman"/>
          <w:sz w:val="22"/>
        </w:rPr>
        <w:t>Unifying Nutrient–Chlorophyll Relationships in Lakes.</w:t>
      </w:r>
      <w:proofErr w:type="gramEnd"/>
      <w:r w:rsidRPr="003B6F25">
        <w:rPr>
          <w:rFonts w:cs="Times New Roman"/>
          <w:sz w:val="22"/>
        </w:rPr>
        <w:t xml:space="preserve"> </w:t>
      </w:r>
      <w:proofErr w:type="gramStart"/>
      <w:r w:rsidRPr="003B6F25">
        <w:rPr>
          <w:rFonts w:cs="Times New Roman"/>
          <w:sz w:val="22"/>
        </w:rPr>
        <w:t>Can. J. Fish.</w:t>
      </w:r>
      <w:proofErr w:type="gramEnd"/>
      <w:r w:rsidRPr="003B6F25">
        <w:rPr>
          <w:rFonts w:cs="Times New Roman"/>
          <w:sz w:val="22"/>
        </w:rPr>
        <w:t xml:space="preserve"> </w:t>
      </w:r>
      <w:proofErr w:type="spellStart"/>
      <w:proofErr w:type="gramStart"/>
      <w:r w:rsidRPr="003B6F25">
        <w:rPr>
          <w:rFonts w:cs="Times New Roman"/>
          <w:sz w:val="22"/>
        </w:rPr>
        <w:t>Aquat</w:t>
      </w:r>
      <w:proofErr w:type="spellEnd"/>
      <w:r w:rsidRPr="003B6F25">
        <w:rPr>
          <w:rFonts w:cs="Times New Roman"/>
          <w:sz w:val="22"/>
        </w:rPr>
        <w:t>.</w:t>
      </w:r>
      <w:proofErr w:type="gramEnd"/>
      <w:r w:rsidRPr="003B6F25">
        <w:rPr>
          <w:rFonts w:cs="Times New Roman"/>
          <w:sz w:val="22"/>
        </w:rPr>
        <w:t xml:space="preserve"> Sci. </w:t>
      </w:r>
      <w:r w:rsidRPr="003B6F25">
        <w:rPr>
          <w:rFonts w:cs="Times New Roman"/>
          <w:i/>
          <w:iCs/>
          <w:sz w:val="22"/>
        </w:rPr>
        <w:t>46</w:t>
      </w:r>
      <w:r w:rsidRPr="003B6F25">
        <w:rPr>
          <w:rFonts w:cs="Times New Roman"/>
          <w:sz w:val="22"/>
        </w:rPr>
        <w:t>, 1176–1182.</w:t>
      </w:r>
    </w:p>
    <w:p w:rsidR="003B6F25" w:rsidRPr="003B6F25" w:rsidRDefault="003B6F25" w:rsidP="003B6F25">
      <w:pPr>
        <w:pStyle w:val="Bibliography"/>
        <w:rPr>
          <w:rFonts w:cs="Times New Roman"/>
          <w:sz w:val="22"/>
        </w:rPr>
      </w:pPr>
      <w:r w:rsidRPr="003B6F25">
        <w:rPr>
          <w:rFonts w:cs="Times New Roman"/>
          <w:sz w:val="22"/>
        </w:rPr>
        <w:t xml:space="preserve">Schindler, D.W. (1977). </w:t>
      </w:r>
      <w:proofErr w:type="gramStart"/>
      <w:r w:rsidRPr="003B6F25">
        <w:rPr>
          <w:rFonts w:cs="Times New Roman"/>
          <w:sz w:val="22"/>
        </w:rPr>
        <w:t>Evolution of phosphorus limitation in lakes.</w:t>
      </w:r>
      <w:proofErr w:type="gramEnd"/>
      <w:r w:rsidRPr="003B6F25">
        <w:rPr>
          <w:rFonts w:cs="Times New Roman"/>
          <w:sz w:val="22"/>
        </w:rPr>
        <w:t xml:space="preserve"> Science </w:t>
      </w:r>
      <w:r w:rsidRPr="003B6F25">
        <w:rPr>
          <w:rFonts w:cs="Times New Roman"/>
          <w:i/>
          <w:iCs/>
          <w:sz w:val="22"/>
        </w:rPr>
        <w:t>195</w:t>
      </w:r>
      <w:r w:rsidRPr="003B6F25">
        <w:rPr>
          <w:rFonts w:cs="Times New Roman"/>
          <w:sz w:val="22"/>
        </w:rPr>
        <w:t>, 260–262.</w:t>
      </w:r>
    </w:p>
    <w:p w:rsidR="003B6F25" w:rsidRPr="003B6F25" w:rsidRDefault="003B6F25" w:rsidP="003B6F25">
      <w:pPr>
        <w:pStyle w:val="Bibliography"/>
        <w:rPr>
          <w:rFonts w:cs="Times New Roman"/>
          <w:sz w:val="22"/>
        </w:rPr>
      </w:pPr>
      <w:proofErr w:type="gramStart"/>
      <w:r w:rsidRPr="003B6F25">
        <w:rPr>
          <w:rFonts w:cs="Times New Roman"/>
          <w:sz w:val="22"/>
        </w:rPr>
        <w:t>Stow, C.A., and Cha, Y. (2013).</w:t>
      </w:r>
      <w:proofErr w:type="gramEnd"/>
      <w:r w:rsidRPr="003B6F25">
        <w:rPr>
          <w:rFonts w:cs="Times New Roman"/>
          <w:sz w:val="22"/>
        </w:rPr>
        <w:t xml:space="preserve"> Are Chlorophyll a–Total Phosphorus Correlations Useful for Inference and Prediction? Environ. </w:t>
      </w:r>
      <w:proofErr w:type="gramStart"/>
      <w:r w:rsidRPr="003B6F25">
        <w:rPr>
          <w:rFonts w:cs="Times New Roman"/>
          <w:sz w:val="22"/>
        </w:rPr>
        <w:t xml:space="preserve">Sci. Technol. </w:t>
      </w:r>
      <w:r w:rsidRPr="003B6F25">
        <w:rPr>
          <w:rFonts w:cs="Times New Roman"/>
          <w:i/>
          <w:iCs/>
          <w:sz w:val="22"/>
        </w:rPr>
        <w:t>47</w:t>
      </w:r>
      <w:r w:rsidRPr="003B6F25">
        <w:rPr>
          <w:rFonts w:cs="Times New Roman"/>
          <w:sz w:val="22"/>
        </w:rPr>
        <w:t>, 3768–3773.</w:t>
      </w:r>
      <w:proofErr w:type="gramEnd"/>
    </w:p>
    <w:p w:rsidR="003B6F25" w:rsidRPr="003B6F25" w:rsidRDefault="003B6F25" w:rsidP="003B6F25">
      <w:pPr>
        <w:pStyle w:val="Bibliography"/>
        <w:rPr>
          <w:rFonts w:cs="Times New Roman"/>
          <w:sz w:val="22"/>
        </w:rPr>
      </w:pPr>
      <w:proofErr w:type="gramStart"/>
      <w:r w:rsidRPr="003B6F25">
        <w:rPr>
          <w:rFonts w:cs="Times New Roman"/>
          <w:sz w:val="22"/>
        </w:rPr>
        <w:t>USEPA (2009).</w:t>
      </w:r>
      <w:proofErr w:type="gramEnd"/>
      <w:r w:rsidRPr="003B6F25">
        <w:rPr>
          <w:rFonts w:cs="Times New Roman"/>
          <w:sz w:val="22"/>
        </w:rPr>
        <w:t xml:space="preserve"> National Lakes Assessment: A Collaborative Survey of the Nation’s Lakes. (Washington, D.C.).</w:t>
      </w:r>
    </w:p>
    <w:p w:rsidR="003B6F25" w:rsidRPr="003B6F25" w:rsidRDefault="003B6F25" w:rsidP="003B6F25">
      <w:pPr>
        <w:pStyle w:val="Bibliography"/>
        <w:rPr>
          <w:rFonts w:cs="Times New Roman"/>
          <w:sz w:val="22"/>
        </w:rPr>
      </w:pPr>
      <w:proofErr w:type="gramStart"/>
      <w:r w:rsidRPr="003B6F25">
        <w:rPr>
          <w:rFonts w:cs="Times New Roman"/>
          <w:sz w:val="22"/>
        </w:rPr>
        <w:t>USEPA,</w:t>
      </w:r>
      <w:proofErr w:type="gramEnd"/>
      <w:r w:rsidRPr="003B6F25">
        <w:rPr>
          <w:rFonts w:cs="Times New Roman"/>
          <w:sz w:val="22"/>
        </w:rPr>
        <w:t xml:space="preserve"> and USGS (2005). National </w:t>
      </w:r>
      <w:proofErr w:type="spellStart"/>
      <w:r w:rsidRPr="003B6F25">
        <w:rPr>
          <w:rFonts w:cs="Times New Roman"/>
          <w:sz w:val="22"/>
        </w:rPr>
        <w:t>Hydrography</w:t>
      </w:r>
      <w:proofErr w:type="spellEnd"/>
      <w:r w:rsidRPr="003B6F25">
        <w:rPr>
          <w:rFonts w:cs="Times New Roman"/>
          <w:sz w:val="22"/>
        </w:rPr>
        <w:t xml:space="preserve"> Dataset Plus - NHD Plus.</w:t>
      </w:r>
    </w:p>
    <w:p w:rsidR="00CD46F2" w:rsidRDefault="00CA6A1E" w:rsidP="00357891">
      <w:r>
        <w:fldChar w:fldCharType="end"/>
      </w:r>
    </w:p>
    <w:p w:rsidR="00CD46F2" w:rsidRDefault="00CD46F2" w:rsidP="00357891">
      <w:r>
        <w:br w:type="page"/>
      </w:r>
    </w:p>
    <w:p w:rsidR="00E375FC" w:rsidRDefault="00E375FC" w:rsidP="00357891"/>
    <w:p w:rsidR="001769CA" w:rsidRPr="001769CA" w:rsidRDefault="001769CA" w:rsidP="001769CA">
      <w:pPr>
        <w:pStyle w:val="Caption"/>
        <w:keepNext/>
        <w:spacing w:line="480" w:lineRule="auto"/>
        <w:rPr>
          <w:b w:val="0"/>
          <w:color w:val="auto"/>
          <w:sz w:val="24"/>
          <w:szCs w:val="24"/>
        </w:rPr>
      </w:pPr>
      <w:proofErr w:type="gramStart"/>
      <w:r w:rsidRPr="001769CA">
        <w:rPr>
          <w:b w:val="0"/>
          <w:color w:val="auto"/>
          <w:sz w:val="24"/>
          <w:szCs w:val="24"/>
        </w:rPr>
        <w:t xml:space="preserve">Table </w:t>
      </w:r>
      <w:proofErr w:type="gramEnd"/>
      <w:r w:rsidRPr="001769CA">
        <w:rPr>
          <w:b w:val="0"/>
          <w:color w:val="auto"/>
          <w:sz w:val="24"/>
          <w:szCs w:val="24"/>
        </w:rPr>
        <w:fldChar w:fldCharType="begin"/>
      </w:r>
      <w:r w:rsidRPr="001769CA">
        <w:rPr>
          <w:b w:val="0"/>
          <w:color w:val="auto"/>
          <w:sz w:val="24"/>
          <w:szCs w:val="24"/>
        </w:rPr>
        <w:instrText xml:space="preserve"> SEQ Table \* ARABIC </w:instrText>
      </w:r>
      <w:r w:rsidRPr="001769CA">
        <w:rPr>
          <w:b w:val="0"/>
          <w:color w:val="auto"/>
          <w:sz w:val="24"/>
          <w:szCs w:val="24"/>
        </w:rPr>
        <w:fldChar w:fldCharType="separate"/>
      </w:r>
      <w:r w:rsidR="00F82E8C">
        <w:rPr>
          <w:b w:val="0"/>
          <w:noProof/>
          <w:color w:val="auto"/>
          <w:sz w:val="24"/>
          <w:szCs w:val="24"/>
        </w:rPr>
        <w:t>1</w:t>
      </w:r>
      <w:r w:rsidRPr="001769CA">
        <w:rPr>
          <w:b w:val="0"/>
          <w:color w:val="auto"/>
          <w:sz w:val="24"/>
          <w:szCs w:val="24"/>
        </w:rPr>
        <w:fldChar w:fldCharType="end"/>
      </w:r>
      <w:proofErr w:type="gramStart"/>
      <w:r w:rsidRPr="001769CA">
        <w:rPr>
          <w:b w:val="0"/>
          <w:color w:val="auto"/>
          <w:sz w:val="24"/>
          <w:szCs w:val="24"/>
        </w:rPr>
        <w:t>.</w:t>
      </w:r>
      <w:proofErr w:type="gramEnd"/>
      <w:r w:rsidRPr="001769CA">
        <w:rPr>
          <w:b w:val="0"/>
          <w:color w:val="auto"/>
          <w:sz w:val="24"/>
          <w:szCs w:val="24"/>
        </w:rPr>
        <w:t xml:space="preserve">  Selection of previously published relationships between total nitrogen, total phosphorus, and chlorophyll </w:t>
      </w:r>
      <w:r w:rsidRPr="001769CA">
        <w:rPr>
          <w:b w:val="0"/>
          <w:i/>
          <w:color w:val="auto"/>
          <w:sz w:val="24"/>
          <w:szCs w:val="24"/>
        </w:rPr>
        <w:t>a</w:t>
      </w:r>
    </w:p>
    <w:p w:rsidR="001769CA" w:rsidRPr="00E375FC" w:rsidRDefault="001769CA" w:rsidP="00357891"/>
    <w:tbl>
      <w:tblPr>
        <w:tblStyle w:val="TableGrid"/>
        <w:tblW w:w="0" w:type="auto"/>
        <w:tblBorders>
          <w:insideH w:val="single" w:sz="6" w:space="0" w:color="auto"/>
          <w:insideV w:val="single" w:sz="6" w:space="0" w:color="auto"/>
        </w:tblBorders>
        <w:tblLook w:val="04A0"/>
      </w:tblPr>
      <w:tblGrid>
        <w:gridCol w:w="2718"/>
        <w:gridCol w:w="2340"/>
        <w:gridCol w:w="2520"/>
        <w:gridCol w:w="990"/>
      </w:tblGrid>
      <w:tr w:rsidR="00464694" w:rsidTr="00A25335">
        <w:tc>
          <w:tcPr>
            <w:tcW w:w="2718" w:type="dxa"/>
            <w:tcBorders>
              <w:top w:val="single" w:sz="12" w:space="0" w:color="auto"/>
              <w:left w:val="nil"/>
              <w:bottom w:val="single" w:sz="6" w:space="0" w:color="auto"/>
              <w:right w:val="single" w:sz="4" w:space="0" w:color="auto"/>
            </w:tcBorders>
          </w:tcPr>
          <w:p w:rsidR="00464694" w:rsidRPr="008A2EC4" w:rsidRDefault="00464694" w:rsidP="00357891">
            <w:pPr>
              <w:rPr>
                <w:rFonts w:cs="Times New Roman"/>
                <w:b/>
              </w:rPr>
            </w:pPr>
            <w:r w:rsidRPr="008A2EC4">
              <w:rPr>
                <w:rFonts w:cs="Times New Roman"/>
                <w:b/>
              </w:rPr>
              <w:t>Citation</w:t>
            </w:r>
          </w:p>
        </w:tc>
        <w:tc>
          <w:tcPr>
            <w:tcW w:w="2340" w:type="dxa"/>
            <w:tcBorders>
              <w:top w:val="single" w:sz="12" w:space="0" w:color="auto"/>
              <w:left w:val="single" w:sz="4" w:space="0" w:color="auto"/>
              <w:bottom w:val="single" w:sz="6" w:space="0" w:color="auto"/>
              <w:right w:val="single" w:sz="4" w:space="0" w:color="auto"/>
            </w:tcBorders>
          </w:tcPr>
          <w:p w:rsidR="003666E4" w:rsidRPr="008A2EC4" w:rsidRDefault="00464694" w:rsidP="00357891">
            <w:pPr>
              <w:rPr>
                <w:rFonts w:cs="Times New Roman"/>
                <w:b/>
              </w:rPr>
            </w:pPr>
            <w:r w:rsidRPr="008A2EC4">
              <w:rPr>
                <w:rFonts w:cs="Times New Roman"/>
                <w:b/>
              </w:rPr>
              <w:t>Empirical</w:t>
            </w:r>
          </w:p>
          <w:p w:rsidR="00464694" w:rsidRPr="008A2EC4" w:rsidRDefault="00464694" w:rsidP="00357891">
            <w:pPr>
              <w:rPr>
                <w:rFonts w:cs="Times New Roman"/>
                <w:b/>
              </w:rPr>
            </w:pPr>
            <w:r w:rsidRPr="008A2EC4">
              <w:rPr>
                <w:rFonts w:cs="Times New Roman"/>
                <w:b/>
              </w:rPr>
              <w:t xml:space="preserve"> Form</w:t>
            </w:r>
            <w:r w:rsidR="00A25335" w:rsidRPr="008A2EC4">
              <w:rPr>
                <w:rFonts w:cs="Times New Roman"/>
                <w:b/>
              </w:rPr>
              <w:t>(s)</w:t>
            </w:r>
          </w:p>
        </w:tc>
        <w:tc>
          <w:tcPr>
            <w:tcW w:w="2520" w:type="dxa"/>
            <w:tcBorders>
              <w:top w:val="single" w:sz="12" w:space="0" w:color="auto"/>
              <w:left w:val="single" w:sz="4" w:space="0" w:color="auto"/>
              <w:bottom w:val="single" w:sz="6" w:space="0" w:color="auto"/>
              <w:right w:val="single" w:sz="4" w:space="0" w:color="auto"/>
            </w:tcBorders>
          </w:tcPr>
          <w:p w:rsidR="003666E4" w:rsidRPr="008A2EC4" w:rsidRDefault="00464694" w:rsidP="00357891">
            <w:pPr>
              <w:rPr>
                <w:rFonts w:cs="Times New Roman"/>
                <w:b/>
              </w:rPr>
            </w:pPr>
            <w:r w:rsidRPr="008A2EC4">
              <w:rPr>
                <w:rFonts w:cs="Times New Roman"/>
                <w:b/>
              </w:rPr>
              <w:t xml:space="preserve">Study </w:t>
            </w:r>
          </w:p>
          <w:p w:rsidR="00464694" w:rsidRPr="008A2EC4" w:rsidRDefault="00464694" w:rsidP="00357891">
            <w:pPr>
              <w:rPr>
                <w:rFonts w:cs="Times New Roman"/>
                <w:b/>
              </w:rPr>
            </w:pPr>
            <w:r w:rsidRPr="008A2EC4">
              <w:rPr>
                <w:rFonts w:cs="Times New Roman"/>
                <w:b/>
              </w:rPr>
              <w:t>Area</w:t>
            </w:r>
          </w:p>
        </w:tc>
        <w:tc>
          <w:tcPr>
            <w:tcW w:w="990" w:type="dxa"/>
            <w:tcBorders>
              <w:top w:val="single" w:sz="12" w:space="0" w:color="auto"/>
              <w:left w:val="single" w:sz="4" w:space="0" w:color="auto"/>
              <w:bottom w:val="single" w:sz="6" w:space="0" w:color="auto"/>
              <w:right w:val="nil"/>
            </w:tcBorders>
          </w:tcPr>
          <w:p w:rsidR="003666E4" w:rsidRPr="008A2EC4" w:rsidRDefault="00464694" w:rsidP="00357891">
            <w:pPr>
              <w:rPr>
                <w:rFonts w:cs="Times New Roman"/>
                <w:b/>
              </w:rPr>
            </w:pPr>
            <w:r w:rsidRPr="008A2EC4">
              <w:rPr>
                <w:rFonts w:cs="Times New Roman"/>
                <w:b/>
              </w:rPr>
              <w:t xml:space="preserve">Sample </w:t>
            </w:r>
          </w:p>
          <w:p w:rsidR="00464694" w:rsidRPr="008A2EC4" w:rsidRDefault="00464694" w:rsidP="00357891">
            <w:pPr>
              <w:rPr>
                <w:rFonts w:cs="Times New Roman"/>
                <w:b/>
              </w:rPr>
            </w:pPr>
            <w:r w:rsidRPr="008A2EC4">
              <w:rPr>
                <w:rFonts w:cs="Times New Roman"/>
                <w:b/>
              </w:rPr>
              <w:t>Size</w:t>
            </w:r>
          </w:p>
        </w:tc>
      </w:tr>
      <w:tr w:rsidR="00464694" w:rsidTr="00A25335">
        <w:tc>
          <w:tcPr>
            <w:tcW w:w="2718" w:type="dxa"/>
            <w:tcBorders>
              <w:top w:val="single" w:sz="6" w:space="0" w:color="auto"/>
              <w:left w:val="nil"/>
              <w:bottom w:val="single" w:sz="6" w:space="0" w:color="auto"/>
            </w:tcBorders>
          </w:tcPr>
          <w:p w:rsidR="00464694" w:rsidRDefault="00CD46F2" w:rsidP="00357891">
            <w:pPr>
              <w:rPr>
                <w:rFonts w:cs="Times New Roman"/>
              </w:rPr>
            </w:pPr>
            <w:r>
              <w:rPr>
                <w:rFonts w:cs="Times New Roman"/>
              </w:rPr>
              <w:t xml:space="preserve">Dillon and </w:t>
            </w:r>
            <w:proofErr w:type="spellStart"/>
            <w:r>
              <w:rPr>
                <w:rFonts w:cs="Times New Roman"/>
              </w:rPr>
              <w:t>Rigler</w:t>
            </w:r>
            <w:proofErr w:type="spellEnd"/>
            <w:r>
              <w:rPr>
                <w:rFonts w:cs="Times New Roman"/>
              </w:rPr>
              <w:t xml:space="preserve"> (1974) </w:t>
            </w:r>
            <w:r w:rsidR="00CA6A1E">
              <w:rPr>
                <w:rFonts w:cs="Times New Roman"/>
              </w:rPr>
              <w:fldChar w:fldCharType="begin"/>
            </w:r>
            <w:r w:rsidR="00C11DD0">
              <w:rPr>
                <w:rFonts w:cs="Times New Roman"/>
              </w:rPr>
              <w:instrText xml:space="preserve"> ADDIN ZOTERO_ITEM CSL_CITATION {"citationID":"7r89uujpq","properties":{"formattedCitation":"(Dillon and Rigler, 1974)","plainCitation":"(Dillon and Rigler, 1974)"},"citationItems":[{"id":169,"uris":["http://zotero.org/groups/176403/items/TB45U9US"],"uri":["http://zotero.org/groups/176403/items/TB45U9US"],"itemData":{"id":169,"type":"article-journal","title":"The phosphorus-chlorophyll relationship in lakes","container-title":"Limnol. Oceanogr","page":"767–773","volume":"19","issue":"5","source":"Google Scholar","author":[{"family":"Dillon","given":"P. J."},{"family":"Rigler","given":"F. H."}],"issued":{"date-parts":[["1974"]]},"accessed":{"date-parts":[["2013",6,25]]}}}],"schema":"https://github.com/citation-style-language/schema/raw/master/csl-citation.json"} </w:instrText>
            </w:r>
            <w:r w:rsidR="00CA6A1E">
              <w:rPr>
                <w:rFonts w:cs="Times New Roman"/>
              </w:rPr>
              <w:fldChar w:fldCharType="separate"/>
            </w:r>
            <w:r w:rsidR="00C11DD0" w:rsidRPr="00C11DD0">
              <w:rPr>
                <w:rFonts w:cs="Times New Roman"/>
              </w:rPr>
              <w:t>(Dillon and Rigler, 1974)</w:t>
            </w:r>
            <w:r w:rsidR="00CA6A1E">
              <w:rPr>
                <w:rFonts w:cs="Times New Roman"/>
              </w:rPr>
              <w:fldChar w:fldCharType="end"/>
            </w:r>
          </w:p>
        </w:tc>
        <w:tc>
          <w:tcPr>
            <w:tcW w:w="2340" w:type="dxa"/>
            <w:tcBorders>
              <w:top w:val="single" w:sz="6" w:space="0" w:color="auto"/>
              <w:bottom w:val="single" w:sz="6" w:space="0" w:color="auto"/>
            </w:tcBorders>
          </w:tcPr>
          <w:p w:rsidR="00464694" w:rsidRPr="00CD46F2" w:rsidRDefault="00CD46F2" w:rsidP="00357891">
            <w:pPr>
              <w:rPr>
                <w:rFonts w:cs="Times New Roman"/>
              </w:rPr>
            </w:pPr>
            <w:r>
              <w:rPr>
                <w:rFonts w:cs="Times New Roman"/>
              </w:rPr>
              <w:t>Log (</w:t>
            </w:r>
            <w:proofErr w:type="spellStart"/>
            <w:r>
              <w:rPr>
                <w:rFonts w:cs="Times New Roman"/>
              </w:rPr>
              <w:t>Chl</w:t>
            </w:r>
            <w:proofErr w:type="spellEnd"/>
            <w:r>
              <w:rPr>
                <w:rFonts w:cs="Times New Roman"/>
              </w:rPr>
              <w:t xml:space="preserve"> </w:t>
            </w:r>
            <w:r>
              <w:rPr>
                <w:rFonts w:cs="Times New Roman"/>
                <w:i/>
              </w:rPr>
              <w:t>a</w:t>
            </w:r>
            <w:r>
              <w:rPr>
                <w:rFonts w:cs="Times New Roman"/>
              </w:rPr>
              <w:t>)</w:t>
            </w:r>
            <w:r w:rsidR="003666E4">
              <w:rPr>
                <w:rFonts w:cs="Times New Roman"/>
              </w:rPr>
              <w:t xml:space="preserve"> =</w:t>
            </w:r>
            <w:r w:rsidR="00A25335">
              <w:rPr>
                <w:rFonts w:cs="Times New Roman"/>
              </w:rPr>
              <w:t xml:space="preserve"> </w:t>
            </w:r>
            <w:r w:rsidR="003666E4">
              <w:rPr>
                <w:rFonts w:cs="Times New Roman"/>
              </w:rPr>
              <w:t>Log (TP)</w:t>
            </w:r>
          </w:p>
        </w:tc>
        <w:tc>
          <w:tcPr>
            <w:tcW w:w="2520" w:type="dxa"/>
            <w:tcBorders>
              <w:top w:val="single" w:sz="6" w:space="0" w:color="auto"/>
              <w:bottom w:val="single" w:sz="6" w:space="0" w:color="auto"/>
            </w:tcBorders>
          </w:tcPr>
          <w:p w:rsidR="00464694" w:rsidRDefault="003666E4" w:rsidP="00357891">
            <w:pPr>
              <w:rPr>
                <w:rFonts w:cs="Times New Roman"/>
              </w:rPr>
            </w:pPr>
            <w:r>
              <w:rPr>
                <w:rFonts w:cs="Times New Roman"/>
              </w:rPr>
              <w:t>Southern Ontario, Canada</w:t>
            </w:r>
          </w:p>
        </w:tc>
        <w:tc>
          <w:tcPr>
            <w:tcW w:w="990" w:type="dxa"/>
            <w:tcBorders>
              <w:top w:val="single" w:sz="6" w:space="0" w:color="auto"/>
              <w:bottom w:val="single" w:sz="6" w:space="0" w:color="auto"/>
              <w:right w:val="nil"/>
            </w:tcBorders>
          </w:tcPr>
          <w:p w:rsidR="00464694" w:rsidRDefault="003666E4" w:rsidP="00357891">
            <w:pPr>
              <w:rPr>
                <w:rFonts w:cs="Times New Roman"/>
              </w:rPr>
            </w:pPr>
            <w:r>
              <w:rPr>
                <w:rFonts w:cs="Times New Roman"/>
              </w:rPr>
              <w:t>19</w:t>
            </w:r>
          </w:p>
        </w:tc>
      </w:tr>
      <w:tr w:rsidR="00464694" w:rsidTr="00A25335">
        <w:tc>
          <w:tcPr>
            <w:tcW w:w="2718" w:type="dxa"/>
            <w:tcBorders>
              <w:top w:val="single" w:sz="6" w:space="0" w:color="auto"/>
              <w:left w:val="nil"/>
              <w:bottom w:val="single" w:sz="6" w:space="0" w:color="auto"/>
            </w:tcBorders>
          </w:tcPr>
          <w:p w:rsidR="00464694" w:rsidRDefault="00A25335" w:rsidP="00357891">
            <w:pPr>
              <w:rPr>
                <w:rFonts w:cs="Times New Roman"/>
              </w:rPr>
            </w:pPr>
            <w:r>
              <w:rPr>
                <w:rFonts w:cs="Times New Roman"/>
              </w:rPr>
              <w:t xml:space="preserve">Prairie et al. (1989) </w:t>
            </w:r>
            <w:r w:rsidR="00CA6A1E">
              <w:rPr>
                <w:rFonts w:cs="Times New Roman"/>
              </w:rPr>
              <w:fldChar w:fldCharType="begin"/>
            </w:r>
            <w:r w:rsidR="00C11DD0">
              <w:rPr>
                <w:rFonts w:cs="Times New Roman"/>
              </w:rPr>
              <w:instrText xml:space="preserve"> ADDIN ZOTERO_ITEM CSL_CITATION {"citationID":"11jibraksu","properties":{"formattedCitation":"(Prairie et al., 1989)","plainCitation":"(Prairie et al., 1989)"},"citationItems":[{"id":101,"uris":["http://zotero.org/groups/176403/items/JWIWZPR7"],"uri":["http://zotero.org/groups/176403/items/JWIWZPR7"],"itemData":{"id":101,"type":"article-journal","title":"Unifying Nutrient–Chlorophyll Relationships in Lakes","container-title":"Canadian Journal of Fisheries and Aquatic Sciences","page":"1176-1182","volume":"46","issue":"7","source":"NRC Research Press","abstract":"We used data drawn from the literature to test some basic predictions derived from nutrient limitation theory. Contrary to expectation, nitrogen was not better correlated to chlorophyll in nitrogen limited lakes (as measured by the total nitrogen:total phosphorus (TN:TP) ratio). We also examined whether the variability in published relationships between chlorophyll a (Chla) and nutrient levels in lakes can be explained by differences in the relative concentrations of nitrogen and phosphorus (TN:TP ratio). Our results show that the coefficients and precision of the Chla = f(TP) and Chla = f(TN) regression equations vary systematically and concomitantly with TN:TP ratios, and are highest for lakes with TN:TP ratios of 23–28 (by weight). These findings were confirmed with independent data and explain the variability of published Chla = f(TP) relationships. We propose a model that predicts the coefficients of Chla = f(TP) and Chla = f(TN) equations for lakes with different TN:TP ratios. This model proved usef..., Nous nous sommes servis de données tirées des ouvrages scientifiques pour vérifier certaines prévisions de base découlant de la théorie de la limitation par les substances nutritives. Contrairement à ce qu'on s'attendait, la corrélation entre l'azote et la chlorophylle n'a pas été meilleure dans les lacs où l'azote est limitée (telle que mesurée par le rapport AT : PT). Nous avons également vérifié si la variabilité observée dans les relations connues entre la chlorophylle a (Chla) et la teneur en substances nutritives dans les lacs peut être expliquée par les différences notées dans les concentrations relatives de l'azote et du phosphore (rapport AT : PT). Nos résultats montrent que les coefficients et la précision des équations de régression Chla = f(PT) et Chla = f(AT) varient de façon systématique et en fonction des rapports AT : PT et sont les plus élevés dans le cas des lacs où les rapports AT : PT varient de 23 à 28 (par poids). Ces conclusions ont été confirmées avec des données indépendantes et e...","DOI":"10.1139/f89-153","ISSN":"0706-652X","journalAbbreviation":"Can. J. Fish. Aquat. Sci.","author":[{"family":"Prairie","given":"Yves T."},{"family":"Duarte","given":"Carlos M."},{"family":"Kalff","given":"Jacob"}],"issued":{"date-parts":[["1989",7,1]]},"accessed":{"date-parts":[["2013",6,20]]}}}],"schema":"https://github.com/citation-style-language/schema/raw/master/csl-citation.json"} </w:instrText>
            </w:r>
            <w:r w:rsidR="00CA6A1E">
              <w:rPr>
                <w:rFonts w:cs="Times New Roman"/>
              </w:rPr>
              <w:fldChar w:fldCharType="separate"/>
            </w:r>
            <w:r w:rsidR="00C11DD0" w:rsidRPr="00C11DD0">
              <w:rPr>
                <w:rFonts w:cs="Times New Roman"/>
              </w:rPr>
              <w:t>(Prairie et al., 1989)</w:t>
            </w:r>
            <w:r w:rsidR="00CA6A1E">
              <w:rPr>
                <w:rFonts w:cs="Times New Roman"/>
              </w:rPr>
              <w:fldChar w:fldCharType="end"/>
            </w:r>
          </w:p>
        </w:tc>
        <w:tc>
          <w:tcPr>
            <w:tcW w:w="2340" w:type="dxa"/>
            <w:tcBorders>
              <w:top w:val="single" w:sz="6" w:space="0" w:color="auto"/>
              <w:bottom w:val="single" w:sz="6" w:space="0" w:color="auto"/>
            </w:tcBorders>
          </w:tcPr>
          <w:p w:rsidR="00464694" w:rsidRDefault="00A25335" w:rsidP="00357891">
            <w:pPr>
              <w:rPr>
                <w:rFonts w:cs="Times New Roman"/>
              </w:rPr>
            </w:pPr>
            <w:r>
              <w:rPr>
                <w:rFonts w:cs="Times New Roman"/>
              </w:rPr>
              <w:t>Log (</w:t>
            </w:r>
            <w:proofErr w:type="spellStart"/>
            <w:r>
              <w:rPr>
                <w:rFonts w:cs="Times New Roman"/>
              </w:rPr>
              <w:t>Chl</w:t>
            </w:r>
            <w:proofErr w:type="spellEnd"/>
            <w:r>
              <w:rPr>
                <w:rFonts w:cs="Times New Roman"/>
              </w:rPr>
              <w:t xml:space="preserve"> </w:t>
            </w:r>
            <w:r>
              <w:rPr>
                <w:rFonts w:cs="Times New Roman"/>
                <w:i/>
              </w:rPr>
              <w:t>a</w:t>
            </w:r>
            <w:r>
              <w:rPr>
                <w:rFonts w:cs="Times New Roman"/>
              </w:rPr>
              <w:t>) = Log (TP)</w:t>
            </w:r>
          </w:p>
          <w:p w:rsidR="00A25335" w:rsidRDefault="00A25335" w:rsidP="00357891">
            <w:pPr>
              <w:rPr>
                <w:rFonts w:cs="Times New Roman"/>
              </w:rPr>
            </w:pPr>
            <w:r>
              <w:rPr>
                <w:rFonts w:cs="Times New Roman"/>
              </w:rPr>
              <w:t>Log (</w:t>
            </w:r>
            <w:proofErr w:type="spellStart"/>
            <w:r>
              <w:rPr>
                <w:rFonts w:cs="Times New Roman"/>
              </w:rPr>
              <w:t>Chl</w:t>
            </w:r>
            <w:proofErr w:type="spellEnd"/>
            <w:r>
              <w:rPr>
                <w:rFonts w:cs="Times New Roman"/>
              </w:rPr>
              <w:t xml:space="preserve"> </w:t>
            </w:r>
            <w:r>
              <w:rPr>
                <w:rFonts w:cs="Times New Roman"/>
                <w:i/>
              </w:rPr>
              <w:t>a</w:t>
            </w:r>
            <w:r>
              <w:rPr>
                <w:rFonts w:cs="Times New Roman"/>
              </w:rPr>
              <w:t>) = Log (TN)</w:t>
            </w:r>
          </w:p>
          <w:p w:rsidR="00A25335" w:rsidRDefault="00A25335" w:rsidP="00357891">
            <w:pPr>
              <w:rPr>
                <w:rFonts w:cs="Times New Roman"/>
              </w:rPr>
            </w:pPr>
            <w:r>
              <w:rPr>
                <w:rFonts w:cs="Times New Roman"/>
              </w:rPr>
              <w:t>Log (</w:t>
            </w:r>
            <w:proofErr w:type="spellStart"/>
            <w:r>
              <w:rPr>
                <w:rFonts w:cs="Times New Roman"/>
              </w:rPr>
              <w:t>Chl</w:t>
            </w:r>
            <w:proofErr w:type="spellEnd"/>
            <w:r>
              <w:rPr>
                <w:rFonts w:cs="Times New Roman"/>
              </w:rPr>
              <w:t xml:space="preserve"> </w:t>
            </w:r>
            <w:r>
              <w:rPr>
                <w:rFonts w:cs="Times New Roman"/>
                <w:i/>
              </w:rPr>
              <w:t>a</w:t>
            </w:r>
            <w:r>
              <w:rPr>
                <w:rFonts w:cs="Times New Roman"/>
              </w:rPr>
              <w:t>) = Log (TP) + Log (TN)</w:t>
            </w:r>
          </w:p>
          <w:p w:rsidR="00A25335" w:rsidRPr="00A25335" w:rsidRDefault="00A25335" w:rsidP="00357891">
            <w:pPr>
              <w:rPr>
                <w:rFonts w:cs="Times New Roman"/>
              </w:rPr>
            </w:pPr>
          </w:p>
        </w:tc>
        <w:tc>
          <w:tcPr>
            <w:tcW w:w="2520" w:type="dxa"/>
            <w:tcBorders>
              <w:top w:val="single" w:sz="6" w:space="0" w:color="auto"/>
              <w:bottom w:val="single" w:sz="6" w:space="0" w:color="auto"/>
            </w:tcBorders>
          </w:tcPr>
          <w:p w:rsidR="00464694" w:rsidRDefault="00A25335" w:rsidP="00357891">
            <w:pPr>
              <w:rPr>
                <w:rFonts w:cs="Times New Roman"/>
              </w:rPr>
            </w:pPr>
            <w:r>
              <w:rPr>
                <w:rFonts w:cs="Times New Roman"/>
              </w:rPr>
              <w:t>US, Canada, Europe</w:t>
            </w:r>
          </w:p>
        </w:tc>
        <w:tc>
          <w:tcPr>
            <w:tcW w:w="990" w:type="dxa"/>
            <w:tcBorders>
              <w:top w:val="single" w:sz="6" w:space="0" w:color="auto"/>
              <w:bottom w:val="single" w:sz="6" w:space="0" w:color="auto"/>
              <w:right w:val="nil"/>
            </w:tcBorders>
          </w:tcPr>
          <w:p w:rsidR="00464694" w:rsidRDefault="00A25335" w:rsidP="00357891">
            <w:pPr>
              <w:rPr>
                <w:rFonts w:cs="Times New Roman"/>
              </w:rPr>
            </w:pPr>
            <w:r>
              <w:rPr>
                <w:rFonts w:cs="Times New Roman"/>
              </w:rPr>
              <w:t>133</w:t>
            </w:r>
          </w:p>
        </w:tc>
      </w:tr>
      <w:tr w:rsidR="00464694" w:rsidTr="00A25335">
        <w:tc>
          <w:tcPr>
            <w:tcW w:w="2718" w:type="dxa"/>
            <w:tcBorders>
              <w:top w:val="single" w:sz="6" w:space="0" w:color="auto"/>
              <w:left w:val="nil"/>
              <w:bottom w:val="single" w:sz="6" w:space="0" w:color="auto"/>
            </w:tcBorders>
          </w:tcPr>
          <w:p w:rsidR="00464694" w:rsidRDefault="00464694" w:rsidP="00357891">
            <w:pPr>
              <w:rPr>
                <w:rFonts w:cs="Times New Roman"/>
              </w:rPr>
            </w:pPr>
          </w:p>
        </w:tc>
        <w:tc>
          <w:tcPr>
            <w:tcW w:w="2340" w:type="dxa"/>
            <w:tcBorders>
              <w:top w:val="single" w:sz="6" w:space="0" w:color="auto"/>
              <w:bottom w:val="single" w:sz="6" w:space="0" w:color="auto"/>
            </w:tcBorders>
          </w:tcPr>
          <w:p w:rsidR="00464694" w:rsidRDefault="00464694" w:rsidP="00357891">
            <w:pPr>
              <w:rPr>
                <w:rFonts w:cs="Times New Roman"/>
              </w:rPr>
            </w:pPr>
          </w:p>
        </w:tc>
        <w:tc>
          <w:tcPr>
            <w:tcW w:w="2520" w:type="dxa"/>
            <w:tcBorders>
              <w:top w:val="single" w:sz="6" w:space="0" w:color="auto"/>
              <w:bottom w:val="single" w:sz="6" w:space="0" w:color="auto"/>
            </w:tcBorders>
          </w:tcPr>
          <w:p w:rsidR="00464694" w:rsidRDefault="00464694" w:rsidP="00357891">
            <w:pPr>
              <w:rPr>
                <w:rFonts w:cs="Times New Roman"/>
              </w:rPr>
            </w:pPr>
          </w:p>
        </w:tc>
        <w:tc>
          <w:tcPr>
            <w:tcW w:w="990" w:type="dxa"/>
            <w:tcBorders>
              <w:top w:val="single" w:sz="6" w:space="0" w:color="auto"/>
              <w:bottom w:val="single" w:sz="6" w:space="0" w:color="auto"/>
              <w:right w:val="nil"/>
            </w:tcBorders>
          </w:tcPr>
          <w:p w:rsidR="00464694" w:rsidRDefault="00464694" w:rsidP="00357891">
            <w:pPr>
              <w:rPr>
                <w:rFonts w:cs="Times New Roman"/>
              </w:rPr>
            </w:pPr>
          </w:p>
        </w:tc>
      </w:tr>
      <w:tr w:rsidR="00464694" w:rsidTr="00A25335">
        <w:tc>
          <w:tcPr>
            <w:tcW w:w="2718" w:type="dxa"/>
            <w:tcBorders>
              <w:top w:val="single" w:sz="6" w:space="0" w:color="auto"/>
              <w:left w:val="nil"/>
              <w:bottom w:val="single" w:sz="12" w:space="0" w:color="auto"/>
            </w:tcBorders>
          </w:tcPr>
          <w:p w:rsidR="00464694" w:rsidRDefault="00464694" w:rsidP="00357891">
            <w:pPr>
              <w:rPr>
                <w:rFonts w:cs="Times New Roman"/>
              </w:rPr>
            </w:pPr>
          </w:p>
        </w:tc>
        <w:tc>
          <w:tcPr>
            <w:tcW w:w="2340" w:type="dxa"/>
            <w:tcBorders>
              <w:top w:val="single" w:sz="6" w:space="0" w:color="auto"/>
              <w:bottom w:val="single" w:sz="12" w:space="0" w:color="auto"/>
            </w:tcBorders>
          </w:tcPr>
          <w:p w:rsidR="00464694" w:rsidRDefault="00464694" w:rsidP="00357891">
            <w:pPr>
              <w:rPr>
                <w:rFonts w:cs="Times New Roman"/>
              </w:rPr>
            </w:pPr>
          </w:p>
        </w:tc>
        <w:tc>
          <w:tcPr>
            <w:tcW w:w="2520" w:type="dxa"/>
            <w:tcBorders>
              <w:top w:val="single" w:sz="6" w:space="0" w:color="auto"/>
              <w:bottom w:val="single" w:sz="12" w:space="0" w:color="auto"/>
            </w:tcBorders>
          </w:tcPr>
          <w:p w:rsidR="00464694" w:rsidRDefault="00464694" w:rsidP="00357891">
            <w:pPr>
              <w:rPr>
                <w:rFonts w:cs="Times New Roman"/>
              </w:rPr>
            </w:pPr>
          </w:p>
        </w:tc>
        <w:tc>
          <w:tcPr>
            <w:tcW w:w="990" w:type="dxa"/>
            <w:tcBorders>
              <w:top w:val="single" w:sz="6" w:space="0" w:color="auto"/>
              <w:bottom w:val="single" w:sz="12" w:space="0" w:color="auto"/>
              <w:right w:val="nil"/>
            </w:tcBorders>
          </w:tcPr>
          <w:p w:rsidR="00464694" w:rsidRDefault="00464694" w:rsidP="00357891">
            <w:pPr>
              <w:rPr>
                <w:rFonts w:cs="Times New Roman"/>
              </w:rPr>
            </w:pPr>
          </w:p>
        </w:tc>
      </w:tr>
    </w:tbl>
    <w:p w:rsidR="008A2EC4" w:rsidRDefault="008A2EC4" w:rsidP="00357891">
      <w:pPr>
        <w:rPr>
          <w:rFonts w:cs="Times New Roman"/>
        </w:rPr>
      </w:pPr>
    </w:p>
    <w:p w:rsidR="00F67902" w:rsidRDefault="008A2EC4">
      <w:pPr>
        <w:spacing w:line="276" w:lineRule="auto"/>
        <w:rPr>
          <w:rFonts w:cs="Times New Roman"/>
        </w:rPr>
      </w:pPr>
      <w:r>
        <w:rPr>
          <w:rFonts w:cs="Times New Roman"/>
        </w:rPr>
        <w:br w:type="page"/>
      </w:r>
      <w:proofErr w:type="gramStart"/>
      <w:r w:rsidR="001769CA">
        <w:rPr>
          <w:rFonts w:cs="Times New Roman"/>
        </w:rPr>
        <w:t>Table 2.</w:t>
      </w:r>
      <w:proofErr w:type="gramEnd"/>
      <w:r w:rsidR="001769CA">
        <w:rPr>
          <w:rFonts w:cs="Times New Roman"/>
        </w:rPr>
        <w:t xml:space="preserve">  </w:t>
      </w:r>
      <w:r w:rsidR="00437144">
        <w:rPr>
          <w:rFonts w:cs="Times New Roman"/>
        </w:rPr>
        <w:t xml:space="preserve">Nutrient and </w:t>
      </w:r>
      <w:proofErr w:type="spellStart"/>
      <w:r w:rsidR="00437144">
        <w:rPr>
          <w:rFonts w:cs="Times New Roman"/>
        </w:rPr>
        <w:t>Chl</w:t>
      </w:r>
      <w:proofErr w:type="spellEnd"/>
      <w:r w:rsidR="00437144">
        <w:rPr>
          <w:rFonts w:cs="Times New Roman"/>
        </w:rPr>
        <w:t xml:space="preserve"> </w:t>
      </w:r>
      <w:r w:rsidR="00437144">
        <w:rPr>
          <w:rFonts w:cs="Times New Roman"/>
          <w:i/>
        </w:rPr>
        <w:t xml:space="preserve">a </w:t>
      </w:r>
      <w:r w:rsidR="00437144">
        <w:rPr>
          <w:rFonts w:cs="Times New Roman"/>
        </w:rPr>
        <w:t>s</w:t>
      </w:r>
      <w:r w:rsidR="001769CA">
        <w:rPr>
          <w:rFonts w:cs="Times New Roman"/>
        </w:rPr>
        <w:t>um</w:t>
      </w:r>
      <w:r w:rsidR="00F67902">
        <w:rPr>
          <w:rFonts w:cs="Times New Roman"/>
        </w:rPr>
        <w:t>mary statistics for 2007 and 20</w:t>
      </w:r>
      <w:r w:rsidR="001769CA">
        <w:rPr>
          <w:rFonts w:cs="Times New Roman"/>
        </w:rPr>
        <w:t>12</w:t>
      </w:r>
      <w:r w:rsidR="00F67902">
        <w:rPr>
          <w:rFonts w:cs="Times New Roman"/>
        </w:rPr>
        <w:t xml:space="preserve"> National Lakes Assessments by </w:t>
      </w:r>
      <w:proofErr w:type="spellStart"/>
      <w:r w:rsidR="00F67902">
        <w:rPr>
          <w:rFonts w:cs="Times New Roman"/>
        </w:rPr>
        <w:t>Ecoregion</w:t>
      </w:r>
      <w:proofErr w:type="spellEnd"/>
    </w:p>
    <w:tbl>
      <w:tblPr>
        <w:tblStyle w:val="TableGrid"/>
        <w:tblpPr w:leftFromText="180" w:rightFromText="180" w:vertAnchor="page" w:horzAnchor="margin" w:tblpXSpec="center" w:tblpY="2609"/>
        <w:tblW w:w="10080" w:type="dxa"/>
        <w:tblBorders>
          <w:top w:val="single" w:sz="12" w:space="0" w:color="auto"/>
          <w:left w:val="none" w:sz="0" w:space="0" w:color="auto"/>
          <w:bottom w:val="single" w:sz="12" w:space="0" w:color="auto"/>
          <w:right w:val="none" w:sz="0" w:space="0" w:color="auto"/>
          <w:insideH w:val="none" w:sz="0" w:space="0" w:color="auto"/>
          <w:insideV w:val="single" w:sz="8" w:space="0" w:color="auto"/>
        </w:tblBorders>
        <w:tblLayout w:type="fixed"/>
        <w:tblLook w:val="04A0"/>
      </w:tblPr>
      <w:tblGrid>
        <w:gridCol w:w="468"/>
        <w:gridCol w:w="2790"/>
        <w:gridCol w:w="624"/>
        <w:gridCol w:w="1033"/>
        <w:gridCol w:w="1033"/>
        <w:gridCol w:w="1033"/>
        <w:gridCol w:w="1033"/>
        <w:gridCol w:w="1033"/>
        <w:gridCol w:w="1033"/>
      </w:tblGrid>
      <w:tr w:rsidR="00825FBF" w:rsidRPr="00C260DF" w:rsidTr="00437144">
        <w:tc>
          <w:tcPr>
            <w:tcW w:w="468" w:type="dxa"/>
            <w:tcBorders>
              <w:top w:val="single" w:sz="12" w:space="0" w:color="auto"/>
              <w:bottom w:val="single" w:sz="12" w:space="0" w:color="auto"/>
              <w:right w:val="nil"/>
            </w:tcBorders>
          </w:tcPr>
          <w:p w:rsidR="00825FBF" w:rsidRDefault="00825FBF" w:rsidP="00437144">
            <w:pPr>
              <w:spacing w:line="276" w:lineRule="auto"/>
              <w:jc w:val="center"/>
              <w:rPr>
                <w:rFonts w:cs="Times New Roman"/>
              </w:rPr>
            </w:pPr>
          </w:p>
        </w:tc>
        <w:tc>
          <w:tcPr>
            <w:tcW w:w="2790" w:type="dxa"/>
            <w:tcBorders>
              <w:top w:val="single" w:sz="12" w:space="0" w:color="auto"/>
              <w:bottom w:val="single" w:sz="12" w:space="0" w:color="auto"/>
              <w:right w:val="nil"/>
            </w:tcBorders>
            <w:vAlign w:val="center"/>
          </w:tcPr>
          <w:p w:rsidR="00825FBF" w:rsidRPr="00C260DF" w:rsidRDefault="00825FBF" w:rsidP="00437144">
            <w:pPr>
              <w:spacing w:line="276" w:lineRule="auto"/>
              <w:jc w:val="center"/>
              <w:rPr>
                <w:rFonts w:cs="Times New Roman"/>
                <w:b/>
              </w:rPr>
            </w:pPr>
          </w:p>
        </w:tc>
        <w:tc>
          <w:tcPr>
            <w:tcW w:w="624" w:type="dxa"/>
            <w:tcBorders>
              <w:top w:val="single" w:sz="12" w:space="0" w:color="auto"/>
              <w:left w:val="nil"/>
              <w:bottom w:val="single" w:sz="12" w:space="0" w:color="auto"/>
              <w:right w:val="single" w:sz="4" w:space="0" w:color="auto"/>
            </w:tcBorders>
            <w:vAlign w:val="center"/>
          </w:tcPr>
          <w:p w:rsidR="00825FBF" w:rsidRPr="00C260DF" w:rsidRDefault="00825FBF" w:rsidP="00437144">
            <w:pPr>
              <w:spacing w:line="276" w:lineRule="auto"/>
              <w:jc w:val="center"/>
              <w:rPr>
                <w:rFonts w:cs="Times New Roman"/>
                <w:b/>
              </w:rPr>
            </w:pPr>
          </w:p>
        </w:tc>
        <w:tc>
          <w:tcPr>
            <w:tcW w:w="2066" w:type="dxa"/>
            <w:gridSpan w:val="2"/>
            <w:tcBorders>
              <w:top w:val="single" w:sz="12" w:space="0" w:color="auto"/>
              <w:left w:val="single" w:sz="4" w:space="0" w:color="auto"/>
              <w:bottom w:val="single" w:sz="12" w:space="0" w:color="auto"/>
              <w:right w:val="single" w:sz="4" w:space="0" w:color="auto"/>
            </w:tcBorders>
            <w:vAlign w:val="center"/>
          </w:tcPr>
          <w:p w:rsidR="00825FBF" w:rsidRPr="00C260DF" w:rsidRDefault="00825FBF" w:rsidP="00437144">
            <w:pPr>
              <w:spacing w:line="276" w:lineRule="auto"/>
              <w:jc w:val="center"/>
              <w:rPr>
                <w:rFonts w:cs="Times New Roman"/>
                <w:b/>
              </w:rPr>
            </w:pPr>
            <w:r w:rsidRPr="00C260DF">
              <w:rPr>
                <w:rFonts w:cs="Times New Roman"/>
                <w:b/>
              </w:rPr>
              <w:t>Total Nitrogen</w:t>
            </w:r>
          </w:p>
        </w:tc>
        <w:tc>
          <w:tcPr>
            <w:tcW w:w="2066" w:type="dxa"/>
            <w:gridSpan w:val="2"/>
            <w:tcBorders>
              <w:top w:val="single" w:sz="12" w:space="0" w:color="auto"/>
              <w:left w:val="single" w:sz="4" w:space="0" w:color="auto"/>
              <w:bottom w:val="single" w:sz="12" w:space="0" w:color="auto"/>
              <w:right w:val="single" w:sz="4" w:space="0" w:color="auto"/>
            </w:tcBorders>
            <w:vAlign w:val="center"/>
          </w:tcPr>
          <w:p w:rsidR="00825FBF" w:rsidRPr="00C260DF" w:rsidRDefault="00825FBF" w:rsidP="00437144">
            <w:pPr>
              <w:spacing w:line="276" w:lineRule="auto"/>
              <w:jc w:val="center"/>
              <w:rPr>
                <w:rFonts w:cs="Times New Roman"/>
                <w:b/>
              </w:rPr>
            </w:pPr>
            <w:r w:rsidRPr="00C260DF">
              <w:rPr>
                <w:rFonts w:cs="Times New Roman"/>
                <w:b/>
              </w:rPr>
              <w:t>Total Phosphorus</w:t>
            </w:r>
          </w:p>
        </w:tc>
        <w:tc>
          <w:tcPr>
            <w:tcW w:w="2066" w:type="dxa"/>
            <w:gridSpan w:val="2"/>
            <w:tcBorders>
              <w:top w:val="single" w:sz="12" w:space="0" w:color="auto"/>
              <w:left w:val="single" w:sz="4" w:space="0" w:color="auto"/>
              <w:bottom w:val="single" w:sz="12" w:space="0" w:color="auto"/>
            </w:tcBorders>
            <w:vAlign w:val="center"/>
          </w:tcPr>
          <w:p w:rsidR="00825FBF" w:rsidRPr="00C260DF" w:rsidRDefault="00825FBF" w:rsidP="00437144">
            <w:pPr>
              <w:spacing w:line="276" w:lineRule="auto"/>
              <w:jc w:val="center"/>
              <w:rPr>
                <w:rFonts w:cs="Times New Roman"/>
                <w:b/>
                <w:i/>
              </w:rPr>
            </w:pPr>
            <w:proofErr w:type="spellStart"/>
            <w:r w:rsidRPr="00C260DF">
              <w:rPr>
                <w:rFonts w:cs="Times New Roman"/>
                <w:b/>
              </w:rPr>
              <w:t>Chl</w:t>
            </w:r>
            <w:proofErr w:type="spellEnd"/>
            <w:r w:rsidRPr="00C260DF">
              <w:rPr>
                <w:rFonts w:cs="Times New Roman"/>
                <w:b/>
              </w:rPr>
              <w:t xml:space="preserve"> </w:t>
            </w:r>
            <w:r w:rsidRPr="00C260DF">
              <w:rPr>
                <w:rFonts w:cs="Times New Roman"/>
                <w:b/>
                <w:i/>
              </w:rPr>
              <w:t xml:space="preserve"> a</w:t>
            </w:r>
          </w:p>
        </w:tc>
      </w:tr>
      <w:tr w:rsidR="00F00ED5" w:rsidRPr="00C260DF" w:rsidTr="00437144">
        <w:tc>
          <w:tcPr>
            <w:tcW w:w="468" w:type="dxa"/>
            <w:vMerge w:val="restart"/>
            <w:tcBorders>
              <w:top w:val="single" w:sz="12" w:space="0" w:color="auto"/>
              <w:right w:val="single" w:sz="4" w:space="0" w:color="auto"/>
            </w:tcBorders>
            <w:noWrap/>
            <w:textDirection w:val="btLr"/>
          </w:tcPr>
          <w:p w:rsidR="00F00ED5" w:rsidRPr="00C260DF" w:rsidRDefault="00F00ED5" w:rsidP="00437144">
            <w:pPr>
              <w:spacing w:line="276" w:lineRule="auto"/>
              <w:ind w:left="113" w:right="113"/>
              <w:jc w:val="center"/>
              <w:rPr>
                <w:rFonts w:cs="Times New Roman"/>
                <w:b/>
              </w:rPr>
            </w:pPr>
            <w:r w:rsidRPr="00C260DF">
              <w:rPr>
                <w:rFonts w:cs="Times New Roman"/>
                <w:b/>
              </w:rPr>
              <w:t>2007</w:t>
            </w:r>
          </w:p>
        </w:tc>
        <w:tc>
          <w:tcPr>
            <w:tcW w:w="2790" w:type="dxa"/>
            <w:tcBorders>
              <w:top w:val="single" w:sz="12" w:space="0" w:color="auto"/>
              <w:bottom w:val="single" w:sz="4" w:space="0" w:color="auto"/>
              <w:right w:val="single" w:sz="4" w:space="0" w:color="auto"/>
            </w:tcBorders>
            <w:vAlign w:val="center"/>
          </w:tcPr>
          <w:p w:rsidR="00F00ED5" w:rsidRPr="00C260DF" w:rsidRDefault="00F00ED5" w:rsidP="00437144">
            <w:pPr>
              <w:spacing w:line="276" w:lineRule="auto"/>
              <w:jc w:val="center"/>
              <w:rPr>
                <w:rFonts w:cs="Times New Roman"/>
                <w:b/>
              </w:rPr>
            </w:pPr>
            <w:proofErr w:type="spellStart"/>
            <w:r w:rsidRPr="00C260DF">
              <w:rPr>
                <w:rFonts w:cs="Times New Roman"/>
                <w:b/>
              </w:rPr>
              <w:t>Ecoregion</w:t>
            </w:r>
            <w:proofErr w:type="spellEnd"/>
          </w:p>
        </w:tc>
        <w:tc>
          <w:tcPr>
            <w:tcW w:w="624" w:type="dxa"/>
            <w:tcBorders>
              <w:top w:val="single" w:sz="12" w:space="0" w:color="auto"/>
              <w:left w:val="single" w:sz="4" w:space="0" w:color="auto"/>
              <w:bottom w:val="single" w:sz="4" w:space="0" w:color="auto"/>
              <w:right w:val="single" w:sz="4" w:space="0" w:color="auto"/>
            </w:tcBorders>
            <w:vAlign w:val="center"/>
          </w:tcPr>
          <w:p w:rsidR="00F00ED5" w:rsidRPr="00C260DF" w:rsidRDefault="00F00ED5" w:rsidP="00437144">
            <w:pPr>
              <w:spacing w:line="276" w:lineRule="auto"/>
              <w:jc w:val="center"/>
              <w:rPr>
                <w:rFonts w:cs="Times New Roman"/>
                <w:b/>
              </w:rPr>
            </w:pPr>
            <w:r w:rsidRPr="00C260DF">
              <w:rPr>
                <w:rFonts w:cs="Times New Roman"/>
                <w:b/>
              </w:rPr>
              <w:t>N</w:t>
            </w:r>
          </w:p>
        </w:tc>
        <w:tc>
          <w:tcPr>
            <w:tcW w:w="1033" w:type="dxa"/>
            <w:tcBorders>
              <w:top w:val="single" w:sz="12" w:space="0" w:color="auto"/>
              <w:left w:val="single" w:sz="4" w:space="0" w:color="auto"/>
              <w:bottom w:val="single" w:sz="4" w:space="0" w:color="auto"/>
              <w:right w:val="single" w:sz="4" w:space="0" w:color="auto"/>
            </w:tcBorders>
            <w:vAlign w:val="center"/>
          </w:tcPr>
          <w:p w:rsidR="00F00ED5" w:rsidRPr="00C260DF" w:rsidRDefault="00F00ED5" w:rsidP="00437144">
            <w:pPr>
              <w:spacing w:line="276" w:lineRule="auto"/>
              <w:jc w:val="center"/>
              <w:rPr>
                <w:rFonts w:cs="Times New Roman"/>
                <w:b/>
              </w:rPr>
            </w:pPr>
            <w:r w:rsidRPr="00C260DF">
              <w:rPr>
                <w:rFonts w:cs="Times New Roman"/>
                <w:b/>
              </w:rPr>
              <w:t>Mean</w:t>
            </w:r>
          </w:p>
        </w:tc>
        <w:tc>
          <w:tcPr>
            <w:tcW w:w="1033" w:type="dxa"/>
            <w:tcBorders>
              <w:top w:val="single" w:sz="12" w:space="0" w:color="auto"/>
              <w:left w:val="single" w:sz="4" w:space="0" w:color="auto"/>
              <w:bottom w:val="single" w:sz="4" w:space="0" w:color="auto"/>
              <w:right w:val="single" w:sz="4" w:space="0" w:color="auto"/>
            </w:tcBorders>
            <w:vAlign w:val="center"/>
          </w:tcPr>
          <w:p w:rsidR="00F00ED5" w:rsidRPr="00C260DF" w:rsidRDefault="00F00ED5" w:rsidP="00437144">
            <w:pPr>
              <w:spacing w:line="276" w:lineRule="auto"/>
              <w:jc w:val="center"/>
              <w:rPr>
                <w:rFonts w:cs="Times New Roman"/>
                <w:b/>
              </w:rPr>
            </w:pPr>
            <w:r w:rsidRPr="00C260DF">
              <w:rPr>
                <w:rFonts w:cs="Times New Roman"/>
                <w:b/>
              </w:rPr>
              <w:t>Std. Dev</w:t>
            </w:r>
          </w:p>
        </w:tc>
        <w:tc>
          <w:tcPr>
            <w:tcW w:w="1033" w:type="dxa"/>
            <w:tcBorders>
              <w:top w:val="single" w:sz="12" w:space="0" w:color="auto"/>
              <w:left w:val="single" w:sz="4" w:space="0" w:color="auto"/>
              <w:bottom w:val="single" w:sz="4" w:space="0" w:color="auto"/>
              <w:right w:val="single" w:sz="4" w:space="0" w:color="auto"/>
            </w:tcBorders>
            <w:vAlign w:val="center"/>
          </w:tcPr>
          <w:p w:rsidR="00F00ED5" w:rsidRPr="00C260DF" w:rsidRDefault="00F00ED5" w:rsidP="00437144">
            <w:pPr>
              <w:spacing w:line="276" w:lineRule="auto"/>
              <w:jc w:val="center"/>
              <w:rPr>
                <w:rFonts w:cs="Times New Roman"/>
                <w:b/>
              </w:rPr>
            </w:pPr>
            <w:r w:rsidRPr="00C260DF">
              <w:rPr>
                <w:rFonts w:cs="Times New Roman"/>
                <w:b/>
              </w:rPr>
              <w:t>Mean</w:t>
            </w:r>
          </w:p>
        </w:tc>
        <w:tc>
          <w:tcPr>
            <w:tcW w:w="1033" w:type="dxa"/>
            <w:tcBorders>
              <w:top w:val="single" w:sz="12" w:space="0" w:color="auto"/>
              <w:left w:val="single" w:sz="4" w:space="0" w:color="auto"/>
              <w:bottom w:val="single" w:sz="4" w:space="0" w:color="auto"/>
              <w:right w:val="single" w:sz="4" w:space="0" w:color="auto"/>
            </w:tcBorders>
            <w:vAlign w:val="center"/>
          </w:tcPr>
          <w:p w:rsidR="00F00ED5" w:rsidRPr="00C260DF" w:rsidRDefault="00F00ED5" w:rsidP="00437144">
            <w:pPr>
              <w:spacing w:line="276" w:lineRule="auto"/>
              <w:jc w:val="center"/>
              <w:rPr>
                <w:rFonts w:cs="Times New Roman"/>
                <w:b/>
              </w:rPr>
            </w:pPr>
            <w:r w:rsidRPr="00C260DF">
              <w:rPr>
                <w:rFonts w:cs="Times New Roman"/>
                <w:b/>
              </w:rPr>
              <w:t>Std. Dev</w:t>
            </w:r>
          </w:p>
        </w:tc>
        <w:tc>
          <w:tcPr>
            <w:tcW w:w="1033" w:type="dxa"/>
            <w:tcBorders>
              <w:top w:val="single" w:sz="12" w:space="0" w:color="auto"/>
              <w:left w:val="single" w:sz="4" w:space="0" w:color="auto"/>
              <w:bottom w:val="single" w:sz="4" w:space="0" w:color="auto"/>
              <w:right w:val="single" w:sz="4" w:space="0" w:color="auto"/>
            </w:tcBorders>
            <w:vAlign w:val="center"/>
          </w:tcPr>
          <w:p w:rsidR="00F00ED5" w:rsidRPr="00C260DF" w:rsidRDefault="00F00ED5" w:rsidP="00437144">
            <w:pPr>
              <w:spacing w:line="276" w:lineRule="auto"/>
              <w:jc w:val="center"/>
              <w:rPr>
                <w:rFonts w:cs="Times New Roman"/>
                <w:b/>
              </w:rPr>
            </w:pPr>
            <w:r w:rsidRPr="00C260DF">
              <w:rPr>
                <w:rFonts w:cs="Times New Roman"/>
                <w:b/>
              </w:rPr>
              <w:t>Mean</w:t>
            </w:r>
          </w:p>
        </w:tc>
        <w:tc>
          <w:tcPr>
            <w:tcW w:w="1033" w:type="dxa"/>
            <w:tcBorders>
              <w:top w:val="single" w:sz="12" w:space="0" w:color="auto"/>
              <w:left w:val="single" w:sz="4" w:space="0" w:color="auto"/>
              <w:bottom w:val="single" w:sz="4" w:space="0" w:color="auto"/>
            </w:tcBorders>
            <w:vAlign w:val="center"/>
          </w:tcPr>
          <w:p w:rsidR="00F00ED5" w:rsidRPr="00C260DF" w:rsidRDefault="00F00ED5" w:rsidP="00437144">
            <w:pPr>
              <w:spacing w:line="276" w:lineRule="auto"/>
              <w:jc w:val="center"/>
              <w:rPr>
                <w:rFonts w:cs="Times New Roman"/>
                <w:b/>
              </w:rPr>
            </w:pPr>
            <w:r w:rsidRPr="00C260DF">
              <w:rPr>
                <w:rFonts w:cs="Times New Roman"/>
                <w:b/>
              </w:rPr>
              <w:t>Std. Dev</w:t>
            </w:r>
          </w:p>
        </w:tc>
      </w:tr>
      <w:tr w:rsidR="00927A90" w:rsidRPr="00F00ED5" w:rsidTr="00437144">
        <w:trPr>
          <w:trHeight w:val="432"/>
        </w:trPr>
        <w:tc>
          <w:tcPr>
            <w:tcW w:w="468" w:type="dxa"/>
            <w:vMerge/>
            <w:tcBorders>
              <w:right w:val="single" w:sz="4" w:space="0" w:color="auto"/>
            </w:tcBorders>
          </w:tcPr>
          <w:p w:rsidR="00927A90" w:rsidRPr="00F00ED5" w:rsidRDefault="00927A90" w:rsidP="00437144">
            <w:pPr>
              <w:spacing w:line="276" w:lineRule="auto"/>
              <w:jc w:val="center"/>
              <w:rPr>
                <w:rFonts w:cs="Times New Roman"/>
                <w:b/>
              </w:rPr>
            </w:pPr>
          </w:p>
        </w:tc>
        <w:tc>
          <w:tcPr>
            <w:tcW w:w="2790" w:type="dxa"/>
            <w:tcBorders>
              <w:top w:val="single" w:sz="4" w:space="0" w:color="auto"/>
              <w:bottom w:val="single" w:sz="4" w:space="0" w:color="auto"/>
              <w:right w:val="single" w:sz="4" w:space="0" w:color="auto"/>
            </w:tcBorders>
            <w:noWrap/>
            <w:vAlign w:val="center"/>
          </w:tcPr>
          <w:p w:rsidR="00927A90" w:rsidRPr="00F00ED5" w:rsidRDefault="00F82E8C" w:rsidP="00437144">
            <w:pPr>
              <w:spacing w:line="240" w:lineRule="auto"/>
              <w:rPr>
                <w:rFonts w:eastAsia="Times New Roman" w:cs="Times New Roman"/>
                <w:szCs w:val="24"/>
              </w:rPr>
            </w:pPr>
            <w:r>
              <w:rPr>
                <w:rFonts w:eastAsia="Times New Roman" w:cs="Times New Roman"/>
                <w:szCs w:val="24"/>
              </w:rPr>
              <w:t>Coast</w:t>
            </w:r>
            <w:r w:rsidR="00927A90">
              <w:rPr>
                <w:rFonts w:eastAsia="Times New Roman" w:cs="Times New Roman"/>
                <w:szCs w:val="24"/>
              </w:rPr>
              <w:t>al Plains (</w:t>
            </w:r>
            <w:r w:rsidR="00927A90" w:rsidRPr="00F00ED5">
              <w:rPr>
                <w:rFonts w:eastAsia="Times New Roman" w:cs="Times New Roman"/>
                <w:szCs w:val="24"/>
              </w:rPr>
              <w:t>CPL</w:t>
            </w:r>
            <w:r w:rsidR="00927A90">
              <w:rPr>
                <w:rFonts w:eastAsia="Times New Roman" w:cs="Times New Roman"/>
                <w:szCs w:val="24"/>
              </w:rPr>
              <w:t>)</w:t>
            </w:r>
          </w:p>
        </w:tc>
        <w:tc>
          <w:tcPr>
            <w:tcW w:w="624" w:type="dxa"/>
            <w:tcBorders>
              <w:top w:val="single" w:sz="4" w:space="0" w:color="auto"/>
              <w:left w:val="single" w:sz="4" w:space="0" w:color="auto"/>
              <w:bottom w:val="single" w:sz="4" w:space="0" w:color="auto"/>
              <w:right w:val="single" w:sz="4" w:space="0" w:color="auto"/>
            </w:tcBorders>
            <w:noWrap/>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119</w:t>
            </w:r>
          </w:p>
        </w:tc>
        <w:tc>
          <w:tcPr>
            <w:tcW w:w="1033" w:type="dxa"/>
            <w:tcBorders>
              <w:top w:val="single" w:sz="4" w:space="0" w:color="auto"/>
              <w:left w:val="single" w:sz="4" w:space="0" w:color="auto"/>
              <w:bottom w:val="single" w:sz="4" w:space="0" w:color="auto"/>
              <w:right w:val="single" w:sz="4" w:space="0" w:color="auto"/>
            </w:tcBorders>
            <w:noWrap/>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1042.87</w:t>
            </w:r>
          </w:p>
        </w:tc>
        <w:tc>
          <w:tcPr>
            <w:tcW w:w="1033" w:type="dxa"/>
            <w:tcBorders>
              <w:top w:val="single" w:sz="4" w:space="0" w:color="auto"/>
              <w:left w:val="single" w:sz="4" w:space="0" w:color="auto"/>
              <w:bottom w:val="single" w:sz="4" w:space="0" w:color="auto"/>
              <w:right w:val="single" w:sz="4" w:space="0" w:color="auto"/>
            </w:tcBorders>
            <w:noWrap/>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942.23</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78.00</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85.10</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45.27</w:t>
            </w:r>
          </w:p>
        </w:tc>
        <w:tc>
          <w:tcPr>
            <w:tcW w:w="1033" w:type="dxa"/>
            <w:tcBorders>
              <w:top w:val="single" w:sz="4" w:space="0" w:color="auto"/>
              <w:left w:val="single" w:sz="4" w:space="0" w:color="auto"/>
              <w:bottom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50.64</w:t>
            </w:r>
          </w:p>
        </w:tc>
      </w:tr>
      <w:tr w:rsidR="00927A90" w:rsidTr="00437144">
        <w:trPr>
          <w:trHeight w:val="432"/>
        </w:trPr>
        <w:tc>
          <w:tcPr>
            <w:tcW w:w="468" w:type="dxa"/>
            <w:vMerge/>
            <w:tcBorders>
              <w:right w:val="single" w:sz="4" w:space="0" w:color="auto"/>
            </w:tcBorders>
          </w:tcPr>
          <w:p w:rsidR="00927A90" w:rsidRPr="00C260DF" w:rsidRDefault="00927A90" w:rsidP="00437144">
            <w:pPr>
              <w:spacing w:line="276" w:lineRule="auto"/>
              <w:jc w:val="center"/>
              <w:rPr>
                <w:rFonts w:cs="Times New Roman"/>
                <w:b/>
              </w:rPr>
            </w:pPr>
          </w:p>
        </w:tc>
        <w:tc>
          <w:tcPr>
            <w:tcW w:w="2790" w:type="dxa"/>
            <w:tcBorders>
              <w:top w:val="single" w:sz="4" w:space="0" w:color="auto"/>
              <w:bottom w:val="single" w:sz="4" w:space="0" w:color="auto"/>
              <w:right w:val="single" w:sz="4" w:space="0" w:color="auto"/>
            </w:tcBorders>
            <w:vAlign w:val="center"/>
          </w:tcPr>
          <w:p w:rsidR="00927A90" w:rsidRPr="00F00ED5" w:rsidRDefault="00927A90" w:rsidP="00437144">
            <w:pPr>
              <w:spacing w:line="240" w:lineRule="auto"/>
              <w:rPr>
                <w:rFonts w:eastAsia="Times New Roman" w:cs="Times New Roman"/>
                <w:szCs w:val="24"/>
              </w:rPr>
            </w:pPr>
            <w:r>
              <w:rPr>
                <w:rFonts w:eastAsia="Times New Roman" w:cs="Times New Roman"/>
                <w:szCs w:val="24"/>
              </w:rPr>
              <w:t>Northern Appalachians (</w:t>
            </w:r>
            <w:r w:rsidRPr="00F00ED5">
              <w:rPr>
                <w:rFonts w:eastAsia="Times New Roman" w:cs="Times New Roman"/>
                <w:szCs w:val="24"/>
              </w:rPr>
              <w:t>NAP</w:t>
            </w:r>
            <w:r>
              <w:rPr>
                <w:rFonts w:eastAsia="Times New Roman" w:cs="Times New Roman"/>
                <w:szCs w:val="24"/>
              </w:rPr>
              <w:t>)</w:t>
            </w:r>
          </w:p>
        </w:tc>
        <w:tc>
          <w:tcPr>
            <w:tcW w:w="624"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Pr>
                <w:rFonts w:eastAsia="Times New Roman" w:cs="Times New Roman"/>
                <w:szCs w:val="24"/>
              </w:rPr>
              <w:t>122</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409.27</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494.71</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18.66</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38.03</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7.70</w:t>
            </w:r>
          </w:p>
        </w:tc>
        <w:tc>
          <w:tcPr>
            <w:tcW w:w="1033" w:type="dxa"/>
            <w:tcBorders>
              <w:top w:val="single" w:sz="4" w:space="0" w:color="auto"/>
              <w:left w:val="single" w:sz="4" w:space="0" w:color="auto"/>
              <w:bottom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15.58</w:t>
            </w:r>
          </w:p>
        </w:tc>
      </w:tr>
      <w:tr w:rsidR="00927A90" w:rsidTr="00437144">
        <w:trPr>
          <w:trHeight w:val="432"/>
        </w:trPr>
        <w:tc>
          <w:tcPr>
            <w:tcW w:w="468" w:type="dxa"/>
            <w:vMerge/>
            <w:tcBorders>
              <w:right w:val="single" w:sz="4" w:space="0" w:color="auto"/>
            </w:tcBorders>
          </w:tcPr>
          <w:p w:rsidR="00927A90" w:rsidRPr="00C260DF" w:rsidRDefault="00927A90" w:rsidP="00437144">
            <w:pPr>
              <w:spacing w:line="276" w:lineRule="auto"/>
              <w:jc w:val="center"/>
              <w:rPr>
                <w:rFonts w:cs="Times New Roman"/>
                <w:b/>
              </w:rPr>
            </w:pPr>
          </w:p>
        </w:tc>
        <w:tc>
          <w:tcPr>
            <w:tcW w:w="2790" w:type="dxa"/>
            <w:tcBorders>
              <w:top w:val="single" w:sz="4" w:space="0" w:color="auto"/>
              <w:bottom w:val="single" w:sz="4" w:space="0" w:color="auto"/>
              <w:right w:val="single" w:sz="4" w:space="0" w:color="auto"/>
            </w:tcBorders>
            <w:vAlign w:val="center"/>
          </w:tcPr>
          <w:p w:rsidR="00927A90" w:rsidRPr="00F00ED5" w:rsidRDefault="00927A90" w:rsidP="00437144">
            <w:pPr>
              <w:spacing w:line="240" w:lineRule="auto"/>
              <w:rPr>
                <w:rFonts w:eastAsia="Times New Roman" w:cs="Times New Roman"/>
                <w:szCs w:val="24"/>
              </w:rPr>
            </w:pPr>
            <w:r>
              <w:rPr>
                <w:rFonts w:eastAsia="Times New Roman" w:cs="Times New Roman"/>
                <w:szCs w:val="24"/>
              </w:rPr>
              <w:t>Northern Plains (</w:t>
            </w:r>
            <w:r w:rsidRPr="00F00ED5">
              <w:rPr>
                <w:rFonts w:eastAsia="Times New Roman" w:cs="Times New Roman"/>
                <w:szCs w:val="24"/>
              </w:rPr>
              <w:t>NPL</w:t>
            </w:r>
            <w:r>
              <w:rPr>
                <w:rFonts w:eastAsia="Times New Roman" w:cs="Times New Roman"/>
                <w:szCs w:val="24"/>
              </w:rPr>
              <w:t>)</w:t>
            </w:r>
          </w:p>
        </w:tc>
        <w:tc>
          <w:tcPr>
            <w:tcW w:w="624"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Pr>
                <w:rFonts w:eastAsia="Times New Roman" w:cs="Times New Roman"/>
                <w:szCs w:val="24"/>
              </w:rPr>
              <w:t>67</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3712.45</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4355.38</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355.48</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434.01</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48.25</w:t>
            </w:r>
          </w:p>
        </w:tc>
        <w:tc>
          <w:tcPr>
            <w:tcW w:w="1033" w:type="dxa"/>
            <w:tcBorders>
              <w:top w:val="single" w:sz="4" w:space="0" w:color="auto"/>
              <w:left w:val="single" w:sz="4" w:space="0" w:color="auto"/>
              <w:bottom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97.04</w:t>
            </w:r>
          </w:p>
        </w:tc>
      </w:tr>
      <w:tr w:rsidR="00927A90" w:rsidTr="00437144">
        <w:trPr>
          <w:trHeight w:val="432"/>
        </w:trPr>
        <w:tc>
          <w:tcPr>
            <w:tcW w:w="468" w:type="dxa"/>
            <w:vMerge/>
            <w:tcBorders>
              <w:right w:val="single" w:sz="4" w:space="0" w:color="auto"/>
            </w:tcBorders>
          </w:tcPr>
          <w:p w:rsidR="00927A90" w:rsidRPr="00C260DF" w:rsidRDefault="00927A90" w:rsidP="00437144">
            <w:pPr>
              <w:spacing w:line="276" w:lineRule="auto"/>
              <w:jc w:val="center"/>
              <w:rPr>
                <w:rFonts w:cs="Times New Roman"/>
                <w:b/>
              </w:rPr>
            </w:pPr>
          </w:p>
        </w:tc>
        <w:tc>
          <w:tcPr>
            <w:tcW w:w="2790" w:type="dxa"/>
            <w:tcBorders>
              <w:top w:val="single" w:sz="4" w:space="0" w:color="auto"/>
              <w:bottom w:val="single" w:sz="4" w:space="0" w:color="auto"/>
              <w:right w:val="single" w:sz="4" w:space="0" w:color="auto"/>
            </w:tcBorders>
            <w:vAlign w:val="center"/>
          </w:tcPr>
          <w:p w:rsidR="00927A90" w:rsidRPr="00F00ED5" w:rsidRDefault="00927A90" w:rsidP="00437144">
            <w:pPr>
              <w:spacing w:line="240" w:lineRule="auto"/>
              <w:rPr>
                <w:rFonts w:eastAsia="Times New Roman" w:cs="Times New Roman"/>
                <w:szCs w:val="24"/>
              </w:rPr>
            </w:pPr>
            <w:r>
              <w:rPr>
                <w:rFonts w:eastAsia="Times New Roman" w:cs="Times New Roman"/>
                <w:szCs w:val="24"/>
              </w:rPr>
              <w:t>Southern Appalachians (</w:t>
            </w:r>
            <w:r w:rsidRPr="00F00ED5">
              <w:rPr>
                <w:rFonts w:eastAsia="Times New Roman" w:cs="Times New Roman"/>
                <w:szCs w:val="24"/>
              </w:rPr>
              <w:t>SAP</w:t>
            </w:r>
            <w:r>
              <w:rPr>
                <w:rFonts w:eastAsia="Times New Roman" w:cs="Times New Roman"/>
                <w:szCs w:val="24"/>
              </w:rPr>
              <w:t>)</w:t>
            </w:r>
          </w:p>
        </w:tc>
        <w:tc>
          <w:tcPr>
            <w:tcW w:w="624"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Pr>
                <w:rFonts w:eastAsia="Times New Roman" w:cs="Times New Roman"/>
                <w:szCs w:val="24"/>
              </w:rPr>
              <w:t>131</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503.31</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500.25</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35.68</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55.15</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20.38</w:t>
            </w:r>
          </w:p>
        </w:tc>
        <w:tc>
          <w:tcPr>
            <w:tcW w:w="1033" w:type="dxa"/>
            <w:tcBorders>
              <w:top w:val="single" w:sz="4" w:space="0" w:color="auto"/>
              <w:left w:val="single" w:sz="4" w:space="0" w:color="auto"/>
              <w:bottom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35.83</w:t>
            </w:r>
          </w:p>
        </w:tc>
      </w:tr>
      <w:tr w:rsidR="00927A90" w:rsidTr="00437144">
        <w:trPr>
          <w:trHeight w:val="432"/>
        </w:trPr>
        <w:tc>
          <w:tcPr>
            <w:tcW w:w="468" w:type="dxa"/>
            <w:vMerge/>
            <w:tcBorders>
              <w:right w:val="single" w:sz="4" w:space="0" w:color="auto"/>
            </w:tcBorders>
          </w:tcPr>
          <w:p w:rsidR="00927A90" w:rsidRPr="00C260DF" w:rsidRDefault="00927A90" w:rsidP="00437144">
            <w:pPr>
              <w:spacing w:line="276" w:lineRule="auto"/>
              <w:jc w:val="center"/>
              <w:rPr>
                <w:rFonts w:cs="Times New Roman"/>
                <w:b/>
              </w:rPr>
            </w:pPr>
          </w:p>
        </w:tc>
        <w:tc>
          <w:tcPr>
            <w:tcW w:w="2790" w:type="dxa"/>
            <w:tcBorders>
              <w:top w:val="single" w:sz="4" w:space="0" w:color="auto"/>
              <w:bottom w:val="single" w:sz="4" w:space="0" w:color="auto"/>
              <w:right w:val="single" w:sz="4" w:space="0" w:color="auto"/>
            </w:tcBorders>
            <w:vAlign w:val="center"/>
          </w:tcPr>
          <w:p w:rsidR="00927A90" w:rsidRPr="00F00ED5" w:rsidRDefault="00927A90" w:rsidP="00437144">
            <w:pPr>
              <w:spacing w:line="240" w:lineRule="auto"/>
              <w:rPr>
                <w:rFonts w:eastAsia="Times New Roman" w:cs="Times New Roman"/>
                <w:szCs w:val="24"/>
              </w:rPr>
            </w:pPr>
            <w:r>
              <w:rPr>
                <w:rFonts w:eastAsia="Times New Roman" w:cs="Times New Roman"/>
                <w:szCs w:val="24"/>
              </w:rPr>
              <w:t>Southern Plains (</w:t>
            </w:r>
            <w:r w:rsidRPr="00F00ED5">
              <w:rPr>
                <w:rFonts w:eastAsia="Times New Roman" w:cs="Times New Roman"/>
                <w:szCs w:val="24"/>
              </w:rPr>
              <w:t>SPL</w:t>
            </w:r>
            <w:r>
              <w:rPr>
                <w:rFonts w:eastAsia="Times New Roman" w:cs="Times New Roman"/>
                <w:szCs w:val="24"/>
              </w:rPr>
              <w:t>)</w:t>
            </w:r>
          </w:p>
        </w:tc>
        <w:tc>
          <w:tcPr>
            <w:tcW w:w="624"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Pr>
                <w:rFonts w:eastAsia="Times New Roman" w:cs="Times New Roman"/>
                <w:szCs w:val="24"/>
              </w:rPr>
              <w:t>145</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2012.65</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3894.55</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190.32</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329.97</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45.92</w:t>
            </w:r>
          </w:p>
        </w:tc>
        <w:tc>
          <w:tcPr>
            <w:tcW w:w="1033" w:type="dxa"/>
            <w:tcBorders>
              <w:top w:val="single" w:sz="4" w:space="0" w:color="auto"/>
              <w:left w:val="single" w:sz="4" w:space="0" w:color="auto"/>
              <w:bottom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103.67</w:t>
            </w:r>
          </w:p>
        </w:tc>
      </w:tr>
      <w:tr w:rsidR="00927A90" w:rsidTr="00437144">
        <w:trPr>
          <w:trHeight w:val="432"/>
        </w:trPr>
        <w:tc>
          <w:tcPr>
            <w:tcW w:w="468" w:type="dxa"/>
            <w:vMerge/>
            <w:tcBorders>
              <w:right w:val="single" w:sz="4" w:space="0" w:color="auto"/>
            </w:tcBorders>
          </w:tcPr>
          <w:p w:rsidR="00927A90" w:rsidRPr="00C260DF" w:rsidRDefault="00927A90" w:rsidP="00437144">
            <w:pPr>
              <w:spacing w:line="276" w:lineRule="auto"/>
              <w:jc w:val="center"/>
              <w:rPr>
                <w:rFonts w:cs="Times New Roman"/>
                <w:b/>
              </w:rPr>
            </w:pPr>
          </w:p>
        </w:tc>
        <w:tc>
          <w:tcPr>
            <w:tcW w:w="2790" w:type="dxa"/>
            <w:tcBorders>
              <w:top w:val="single" w:sz="4" w:space="0" w:color="auto"/>
              <w:bottom w:val="single" w:sz="4" w:space="0" w:color="auto"/>
              <w:right w:val="single" w:sz="4" w:space="0" w:color="auto"/>
            </w:tcBorders>
            <w:vAlign w:val="center"/>
          </w:tcPr>
          <w:p w:rsidR="00927A90" w:rsidRPr="00F00ED5" w:rsidRDefault="00F82E8C" w:rsidP="00437144">
            <w:pPr>
              <w:spacing w:line="240" w:lineRule="auto"/>
              <w:rPr>
                <w:rFonts w:eastAsia="Times New Roman" w:cs="Times New Roman"/>
                <w:szCs w:val="24"/>
              </w:rPr>
            </w:pPr>
            <w:r>
              <w:rPr>
                <w:rFonts w:eastAsia="Times New Roman" w:cs="Times New Roman"/>
                <w:szCs w:val="24"/>
              </w:rPr>
              <w:t>Temperate Plains (</w:t>
            </w:r>
            <w:r w:rsidR="00927A90" w:rsidRPr="00F00ED5">
              <w:rPr>
                <w:rFonts w:eastAsia="Times New Roman" w:cs="Times New Roman"/>
                <w:szCs w:val="24"/>
              </w:rPr>
              <w:t>TPL</w:t>
            </w:r>
            <w:r>
              <w:rPr>
                <w:rFonts w:eastAsia="Times New Roman" w:cs="Times New Roman"/>
                <w:szCs w:val="24"/>
              </w:rPr>
              <w:t>)</w:t>
            </w:r>
          </w:p>
        </w:tc>
        <w:tc>
          <w:tcPr>
            <w:tcW w:w="624"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Pr>
                <w:rFonts w:eastAsia="Times New Roman" w:cs="Times New Roman"/>
                <w:szCs w:val="24"/>
              </w:rPr>
              <w:t>157</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1826.83</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1802.70</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179.54</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262.75</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56.55</w:t>
            </w:r>
          </w:p>
        </w:tc>
        <w:tc>
          <w:tcPr>
            <w:tcW w:w="1033" w:type="dxa"/>
            <w:tcBorders>
              <w:top w:val="single" w:sz="4" w:space="0" w:color="auto"/>
              <w:left w:val="single" w:sz="4" w:space="0" w:color="auto"/>
              <w:bottom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80.57</w:t>
            </w:r>
          </w:p>
        </w:tc>
      </w:tr>
      <w:tr w:rsidR="00927A90" w:rsidTr="00437144">
        <w:trPr>
          <w:trHeight w:val="432"/>
        </w:trPr>
        <w:tc>
          <w:tcPr>
            <w:tcW w:w="468" w:type="dxa"/>
            <w:vMerge/>
            <w:tcBorders>
              <w:right w:val="single" w:sz="4" w:space="0" w:color="auto"/>
            </w:tcBorders>
          </w:tcPr>
          <w:p w:rsidR="00927A90" w:rsidRPr="00C260DF" w:rsidRDefault="00927A90" w:rsidP="00437144">
            <w:pPr>
              <w:spacing w:line="276" w:lineRule="auto"/>
              <w:jc w:val="center"/>
              <w:rPr>
                <w:rFonts w:cs="Times New Roman"/>
                <w:b/>
              </w:rPr>
            </w:pPr>
          </w:p>
        </w:tc>
        <w:tc>
          <w:tcPr>
            <w:tcW w:w="2790" w:type="dxa"/>
            <w:tcBorders>
              <w:top w:val="single" w:sz="4" w:space="0" w:color="auto"/>
              <w:bottom w:val="single" w:sz="4" w:space="0" w:color="auto"/>
              <w:right w:val="single" w:sz="4" w:space="0" w:color="auto"/>
            </w:tcBorders>
            <w:vAlign w:val="center"/>
          </w:tcPr>
          <w:p w:rsidR="00927A90" w:rsidRPr="00F00ED5" w:rsidRDefault="00927A90" w:rsidP="00437144">
            <w:pPr>
              <w:spacing w:line="240" w:lineRule="auto"/>
              <w:rPr>
                <w:rFonts w:eastAsia="Times New Roman" w:cs="Times New Roman"/>
                <w:szCs w:val="24"/>
              </w:rPr>
            </w:pPr>
            <w:r>
              <w:rPr>
                <w:rFonts w:eastAsia="Times New Roman" w:cs="Times New Roman"/>
                <w:szCs w:val="24"/>
              </w:rPr>
              <w:t>Upper Mid-West (</w:t>
            </w:r>
            <w:r w:rsidRPr="00F00ED5">
              <w:rPr>
                <w:rFonts w:eastAsia="Times New Roman" w:cs="Times New Roman"/>
                <w:szCs w:val="24"/>
              </w:rPr>
              <w:t>UMW</w:t>
            </w:r>
            <w:r>
              <w:rPr>
                <w:rFonts w:eastAsia="Times New Roman" w:cs="Times New Roman"/>
                <w:szCs w:val="24"/>
              </w:rPr>
              <w:t>)</w:t>
            </w:r>
          </w:p>
        </w:tc>
        <w:tc>
          <w:tcPr>
            <w:tcW w:w="624"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Pr>
                <w:rFonts w:eastAsia="Times New Roman" w:cs="Times New Roman"/>
                <w:szCs w:val="24"/>
              </w:rPr>
              <w:t>163</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847.68</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1261.13</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33.49</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112.16</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15.62</w:t>
            </w:r>
          </w:p>
        </w:tc>
        <w:tc>
          <w:tcPr>
            <w:tcW w:w="1033" w:type="dxa"/>
            <w:tcBorders>
              <w:top w:val="single" w:sz="4" w:space="0" w:color="auto"/>
              <w:left w:val="single" w:sz="4" w:space="0" w:color="auto"/>
              <w:bottom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74.07</w:t>
            </w:r>
          </w:p>
        </w:tc>
      </w:tr>
      <w:tr w:rsidR="00927A90" w:rsidTr="00437144">
        <w:trPr>
          <w:trHeight w:val="432"/>
        </w:trPr>
        <w:tc>
          <w:tcPr>
            <w:tcW w:w="468" w:type="dxa"/>
            <w:vMerge/>
            <w:tcBorders>
              <w:right w:val="single" w:sz="4" w:space="0" w:color="auto"/>
            </w:tcBorders>
          </w:tcPr>
          <w:p w:rsidR="00927A90" w:rsidRPr="00C260DF" w:rsidRDefault="00927A90" w:rsidP="00437144">
            <w:pPr>
              <w:spacing w:line="276" w:lineRule="auto"/>
              <w:jc w:val="center"/>
              <w:rPr>
                <w:rFonts w:cs="Times New Roman"/>
                <w:b/>
              </w:rPr>
            </w:pPr>
          </w:p>
        </w:tc>
        <w:tc>
          <w:tcPr>
            <w:tcW w:w="2790" w:type="dxa"/>
            <w:tcBorders>
              <w:top w:val="single" w:sz="4" w:space="0" w:color="auto"/>
              <w:bottom w:val="single" w:sz="4" w:space="0" w:color="auto"/>
              <w:right w:val="single" w:sz="4" w:space="0" w:color="auto"/>
            </w:tcBorders>
            <w:vAlign w:val="center"/>
          </w:tcPr>
          <w:p w:rsidR="00927A90" w:rsidRPr="00F00ED5" w:rsidRDefault="00927A90" w:rsidP="00437144">
            <w:pPr>
              <w:spacing w:line="240" w:lineRule="auto"/>
              <w:rPr>
                <w:rFonts w:eastAsia="Times New Roman" w:cs="Times New Roman"/>
                <w:szCs w:val="24"/>
              </w:rPr>
            </w:pPr>
            <w:r>
              <w:rPr>
                <w:rFonts w:eastAsia="Times New Roman" w:cs="Times New Roman"/>
                <w:szCs w:val="24"/>
              </w:rPr>
              <w:t>Western Mountains (</w:t>
            </w:r>
            <w:r w:rsidRPr="00F00ED5">
              <w:rPr>
                <w:rFonts w:eastAsia="Times New Roman" w:cs="Times New Roman"/>
                <w:szCs w:val="24"/>
              </w:rPr>
              <w:t>WMT</w:t>
            </w:r>
            <w:r>
              <w:rPr>
                <w:rFonts w:eastAsia="Times New Roman" w:cs="Times New Roman"/>
                <w:szCs w:val="24"/>
              </w:rPr>
              <w:t>)</w:t>
            </w:r>
          </w:p>
        </w:tc>
        <w:tc>
          <w:tcPr>
            <w:tcW w:w="624"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Pr>
                <w:rFonts w:eastAsia="Times New Roman" w:cs="Times New Roman"/>
                <w:szCs w:val="24"/>
              </w:rPr>
              <w:t>165</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332.76</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399.59</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28.36</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61.46</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5.88</w:t>
            </w:r>
          </w:p>
        </w:tc>
        <w:tc>
          <w:tcPr>
            <w:tcW w:w="1033" w:type="dxa"/>
            <w:tcBorders>
              <w:top w:val="single" w:sz="4" w:space="0" w:color="auto"/>
              <w:left w:val="single" w:sz="4" w:space="0" w:color="auto"/>
              <w:bottom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17.98</w:t>
            </w:r>
          </w:p>
        </w:tc>
      </w:tr>
      <w:tr w:rsidR="00927A90" w:rsidTr="00437144">
        <w:trPr>
          <w:trHeight w:val="432"/>
        </w:trPr>
        <w:tc>
          <w:tcPr>
            <w:tcW w:w="468" w:type="dxa"/>
            <w:vMerge/>
            <w:tcBorders>
              <w:bottom w:val="single" w:sz="12" w:space="0" w:color="auto"/>
              <w:right w:val="single" w:sz="4" w:space="0" w:color="auto"/>
            </w:tcBorders>
          </w:tcPr>
          <w:p w:rsidR="00927A90" w:rsidRPr="00C260DF" w:rsidRDefault="00927A90" w:rsidP="00437144">
            <w:pPr>
              <w:spacing w:line="276" w:lineRule="auto"/>
              <w:jc w:val="center"/>
              <w:rPr>
                <w:rFonts w:cs="Times New Roman"/>
                <w:b/>
              </w:rPr>
            </w:pPr>
          </w:p>
        </w:tc>
        <w:tc>
          <w:tcPr>
            <w:tcW w:w="2790" w:type="dxa"/>
            <w:tcBorders>
              <w:top w:val="single" w:sz="4" w:space="0" w:color="auto"/>
              <w:bottom w:val="single" w:sz="12" w:space="0" w:color="auto"/>
              <w:right w:val="single" w:sz="4" w:space="0" w:color="auto"/>
            </w:tcBorders>
            <w:vAlign w:val="center"/>
          </w:tcPr>
          <w:p w:rsidR="00927A90" w:rsidRPr="00F00ED5" w:rsidRDefault="00927A90" w:rsidP="00437144">
            <w:pPr>
              <w:spacing w:line="240" w:lineRule="auto"/>
              <w:rPr>
                <w:rFonts w:eastAsia="Times New Roman" w:cs="Times New Roman"/>
                <w:szCs w:val="24"/>
              </w:rPr>
            </w:pPr>
            <w:r>
              <w:rPr>
                <w:rFonts w:eastAsia="Times New Roman" w:cs="Times New Roman"/>
                <w:szCs w:val="24"/>
              </w:rPr>
              <w:t>Xeric (</w:t>
            </w:r>
            <w:r w:rsidRPr="00F00ED5">
              <w:rPr>
                <w:rFonts w:eastAsia="Times New Roman" w:cs="Times New Roman"/>
                <w:szCs w:val="24"/>
              </w:rPr>
              <w:t>XER</w:t>
            </w:r>
            <w:r>
              <w:rPr>
                <w:rFonts w:eastAsia="Times New Roman" w:cs="Times New Roman"/>
                <w:szCs w:val="24"/>
              </w:rPr>
              <w:t>)</w:t>
            </w:r>
          </w:p>
        </w:tc>
        <w:tc>
          <w:tcPr>
            <w:tcW w:w="624" w:type="dxa"/>
            <w:tcBorders>
              <w:top w:val="single" w:sz="4" w:space="0" w:color="auto"/>
              <w:left w:val="single" w:sz="4" w:space="0" w:color="auto"/>
              <w:bottom w:val="single" w:sz="12"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Pr>
                <w:rFonts w:eastAsia="Times New Roman" w:cs="Times New Roman"/>
                <w:szCs w:val="24"/>
              </w:rPr>
              <w:t>88</w:t>
            </w:r>
          </w:p>
        </w:tc>
        <w:tc>
          <w:tcPr>
            <w:tcW w:w="1033" w:type="dxa"/>
            <w:tcBorders>
              <w:top w:val="single" w:sz="4" w:space="0" w:color="auto"/>
              <w:left w:val="single" w:sz="4" w:space="0" w:color="auto"/>
              <w:bottom w:val="single" w:sz="12"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961.52</w:t>
            </w:r>
          </w:p>
        </w:tc>
        <w:tc>
          <w:tcPr>
            <w:tcW w:w="1033" w:type="dxa"/>
            <w:tcBorders>
              <w:top w:val="single" w:sz="4" w:space="0" w:color="auto"/>
              <w:left w:val="single" w:sz="4" w:space="0" w:color="auto"/>
              <w:bottom w:val="single" w:sz="12"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1082.48</w:t>
            </w:r>
          </w:p>
        </w:tc>
        <w:tc>
          <w:tcPr>
            <w:tcW w:w="1033" w:type="dxa"/>
            <w:tcBorders>
              <w:top w:val="single" w:sz="4" w:space="0" w:color="auto"/>
              <w:left w:val="single" w:sz="4" w:space="0" w:color="auto"/>
              <w:bottom w:val="single" w:sz="12"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203.67</w:t>
            </w:r>
          </w:p>
        </w:tc>
        <w:tc>
          <w:tcPr>
            <w:tcW w:w="1033" w:type="dxa"/>
            <w:tcBorders>
              <w:top w:val="single" w:sz="4" w:space="0" w:color="auto"/>
              <w:left w:val="single" w:sz="4" w:space="0" w:color="auto"/>
              <w:bottom w:val="single" w:sz="12"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598.72</w:t>
            </w:r>
          </w:p>
        </w:tc>
        <w:tc>
          <w:tcPr>
            <w:tcW w:w="1033" w:type="dxa"/>
            <w:tcBorders>
              <w:top w:val="single" w:sz="4" w:space="0" w:color="auto"/>
              <w:left w:val="single" w:sz="4" w:space="0" w:color="auto"/>
              <w:bottom w:val="single" w:sz="12"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15.45</w:t>
            </w:r>
          </w:p>
        </w:tc>
        <w:tc>
          <w:tcPr>
            <w:tcW w:w="1033" w:type="dxa"/>
            <w:tcBorders>
              <w:top w:val="single" w:sz="4" w:space="0" w:color="auto"/>
              <w:left w:val="single" w:sz="4" w:space="0" w:color="auto"/>
              <w:bottom w:val="single" w:sz="12"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29.73</w:t>
            </w:r>
          </w:p>
        </w:tc>
      </w:tr>
      <w:tr w:rsidR="00927A90" w:rsidTr="00437144">
        <w:trPr>
          <w:trHeight w:val="432"/>
        </w:trPr>
        <w:tc>
          <w:tcPr>
            <w:tcW w:w="468" w:type="dxa"/>
            <w:vMerge w:val="restart"/>
            <w:tcBorders>
              <w:top w:val="single" w:sz="12" w:space="0" w:color="auto"/>
              <w:right w:val="single" w:sz="4" w:space="0" w:color="auto"/>
            </w:tcBorders>
            <w:textDirection w:val="btLr"/>
          </w:tcPr>
          <w:p w:rsidR="00927A90" w:rsidRPr="00C260DF" w:rsidRDefault="00927A90" w:rsidP="00437144">
            <w:pPr>
              <w:spacing w:line="276" w:lineRule="auto"/>
              <w:ind w:left="113" w:right="113"/>
              <w:jc w:val="center"/>
              <w:rPr>
                <w:rFonts w:cs="Times New Roman"/>
                <w:b/>
              </w:rPr>
            </w:pPr>
            <w:r w:rsidRPr="00C260DF">
              <w:rPr>
                <w:rFonts w:cs="Times New Roman"/>
                <w:b/>
              </w:rPr>
              <w:t>2012</w:t>
            </w:r>
          </w:p>
        </w:tc>
        <w:tc>
          <w:tcPr>
            <w:tcW w:w="2790" w:type="dxa"/>
            <w:tcBorders>
              <w:top w:val="single" w:sz="12" w:space="0" w:color="auto"/>
              <w:bottom w:val="single" w:sz="4" w:space="0" w:color="auto"/>
              <w:right w:val="single" w:sz="4" w:space="0" w:color="auto"/>
            </w:tcBorders>
            <w:vAlign w:val="center"/>
          </w:tcPr>
          <w:p w:rsidR="00927A90" w:rsidRPr="00F00ED5" w:rsidRDefault="00F82E8C" w:rsidP="00437144">
            <w:pPr>
              <w:spacing w:line="240" w:lineRule="auto"/>
              <w:rPr>
                <w:rFonts w:eastAsia="Times New Roman" w:cs="Times New Roman"/>
                <w:szCs w:val="24"/>
              </w:rPr>
            </w:pPr>
            <w:r>
              <w:rPr>
                <w:rFonts w:eastAsia="Times New Roman" w:cs="Times New Roman"/>
                <w:szCs w:val="24"/>
              </w:rPr>
              <w:t>Coastal</w:t>
            </w:r>
            <w:r w:rsidR="00927A90">
              <w:rPr>
                <w:rFonts w:eastAsia="Times New Roman" w:cs="Times New Roman"/>
                <w:szCs w:val="24"/>
              </w:rPr>
              <w:t xml:space="preserve"> Plains (</w:t>
            </w:r>
            <w:r w:rsidR="00927A90" w:rsidRPr="00F00ED5">
              <w:rPr>
                <w:rFonts w:eastAsia="Times New Roman" w:cs="Times New Roman"/>
                <w:szCs w:val="24"/>
              </w:rPr>
              <w:t>CPL</w:t>
            </w:r>
            <w:r w:rsidR="00927A90">
              <w:rPr>
                <w:rFonts w:eastAsia="Times New Roman" w:cs="Times New Roman"/>
                <w:szCs w:val="24"/>
              </w:rPr>
              <w:t>)</w:t>
            </w:r>
          </w:p>
        </w:tc>
        <w:tc>
          <w:tcPr>
            <w:tcW w:w="624" w:type="dxa"/>
            <w:tcBorders>
              <w:top w:val="single" w:sz="12"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134</w:t>
            </w:r>
          </w:p>
        </w:tc>
        <w:tc>
          <w:tcPr>
            <w:tcW w:w="1033" w:type="dxa"/>
            <w:tcBorders>
              <w:top w:val="single" w:sz="12"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1220.17</w:t>
            </w:r>
          </w:p>
        </w:tc>
        <w:tc>
          <w:tcPr>
            <w:tcW w:w="1033" w:type="dxa"/>
            <w:tcBorders>
              <w:top w:val="single" w:sz="12"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1393.55</w:t>
            </w:r>
          </w:p>
        </w:tc>
        <w:tc>
          <w:tcPr>
            <w:tcW w:w="1033" w:type="dxa"/>
            <w:tcBorders>
              <w:top w:val="single" w:sz="12"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127.64</w:t>
            </w:r>
          </w:p>
        </w:tc>
        <w:tc>
          <w:tcPr>
            <w:tcW w:w="1033" w:type="dxa"/>
            <w:tcBorders>
              <w:top w:val="single" w:sz="12"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316.31</w:t>
            </w:r>
          </w:p>
        </w:tc>
        <w:tc>
          <w:tcPr>
            <w:tcW w:w="1033" w:type="dxa"/>
            <w:tcBorders>
              <w:top w:val="single" w:sz="12"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37.50</w:t>
            </w:r>
          </w:p>
        </w:tc>
        <w:tc>
          <w:tcPr>
            <w:tcW w:w="1033" w:type="dxa"/>
            <w:tcBorders>
              <w:top w:val="single" w:sz="12" w:space="0" w:color="auto"/>
              <w:left w:val="single" w:sz="4" w:space="0" w:color="auto"/>
              <w:bottom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53.23</w:t>
            </w:r>
          </w:p>
        </w:tc>
      </w:tr>
      <w:tr w:rsidR="00927A90" w:rsidTr="00437144">
        <w:trPr>
          <w:trHeight w:val="432"/>
        </w:trPr>
        <w:tc>
          <w:tcPr>
            <w:tcW w:w="468" w:type="dxa"/>
            <w:vMerge/>
            <w:tcBorders>
              <w:top w:val="single" w:sz="4" w:space="0" w:color="auto"/>
              <w:right w:val="single" w:sz="4" w:space="0" w:color="auto"/>
            </w:tcBorders>
            <w:textDirection w:val="btLr"/>
          </w:tcPr>
          <w:p w:rsidR="00927A90" w:rsidRPr="00C260DF" w:rsidRDefault="00927A90" w:rsidP="00437144">
            <w:pPr>
              <w:spacing w:line="276" w:lineRule="auto"/>
              <w:ind w:left="113" w:right="113"/>
              <w:jc w:val="center"/>
              <w:rPr>
                <w:rFonts w:cs="Times New Roman"/>
                <w:b/>
              </w:rPr>
            </w:pPr>
          </w:p>
        </w:tc>
        <w:tc>
          <w:tcPr>
            <w:tcW w:w="2790" w:type="dxa"/>
            <w:tcBorders>
              <w:top w:val="single" w:sz="4" w:space="0" w:color="auto"/>
              <w:bottom w:val="single" w:sz="4" w:space="0" w:color="auto"/>
              <w:right w:val="single" w:sz="4" w:space="0" w:color="auto"/>
            </w:tcBorders>
            <w:vAlign w:val="center"/>
          </w:tcPr>
          <w:p w:rsidR="00927A90" w:rsidRPr="00F00ED5" w:rsidRDefault="00927A90" w:rsidP="00437144">
            <w:pPr>
              <w:spacing w:line="240" w:lineRule="auto"/>
              <w:rPr>
                <w:rFonts w:eastAsia="Times New Roman" w:cs="Times New Roman"/>
                <w:szCs w:val="24"/>
              </w:rPr>
            </w:pPr>
            <w:r>
              <w:rPr>
                <w:rFonts w:eastAsia="Times New Roman" w:cs="Times New Roman"/>
                <w:szCs w:val="24"/>
              </w:rPr>
              <w:t>Northern Appalachians (</w:t>
            </w:r>
            <w:r w:rsidRPr="00F00ED5">
              <w:rPr>
                <w:rFonts w:eastAsia="Times New Roman" w:cs="Times New Roman"/>
                <w:szCs w:val="24"/>
              </w:rPr>
              <w:t>NAP</w:t>
            </w:r>
            <w:r>
              <w:rPr>
                <w:rFonts w:eastAsia="Times New Roman" w:cs="Times New Roman"/>
                <w:szCs w:val="24"/>
              </w:rPr>
              <w:t>)</w:t>
            </w:r>
          </w:p>
        </w:tc>
        <w:tc>
          <w:tcPr>
            <w:tcW w:w="624"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88</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432.67</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396.86</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29.45</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36.55</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13.08</w:t>
            </w:r>
          </w:p>
        </w:tc>
        <w:tc>
          <w:tcPr>
            <w:tcW w:w="1033" w:type="dxa"/>
            <w:tcBorders>
              <w:top w:val="single" w:sz="4" w:space="0" w:color="auto"/>
              <w:left w:val="single" w:sz="4" w:space="0" w:color="auto"/>
              <w:bottom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28.94</w:t>
            </w:r>
          </w:p>
        </w:tc>
      </w:tr>
      <w:tr w:rsidR="00927A90" w:rsidTr="00437144">
        <w:trPr>
          <w:trHeight w:val="432"/>
        </w:trPr>
        <w:tc>
          <w:tcPr>
            <w:tcW w:w="468" w:type="dxa"/>
            <w:vMerge/>
            <w:tcBorders>
              <w:right w:val="single" w:sz="4" w:space="0" w:color="auto"/>
            </w:tcBorders>
          </w:tcPr>
          <w:p w:rsidR="00927A90" w:rsidRDefault="00927A90" w:rsidP="00437144">
            <w:pPr>
              <w:spacing w:line="276" w:lineRule="auto"/>
              <w:jc w:val="center"/>
              <w:rPr>
                <w:rFonts w:cs="Times New Roman"/>
              </w:rPr>
            </w:pPr>
          </w:p>
        </w:tc>
        <w:tc>
          <w:tcPr>
            <w:tcW w:w="2790" w:type="dxa"/>
            <w:tcBorders>
              <w:top w:val="single" w:sz="4" w:space="0" w:color="auto"/>
              <w:bottom w:val="single" w:sz="4" w:space="0" w:color="auto"/>
              <w:right w:val="single" w:sz="4" w:space="0" w:color="auto"/>
            </w:tcBorders>
            <w:vAlign w:val="center"/>
          </w:tcPr>
          <w:p w:rsidR="00927A90" w:rsidRPr="00F00ED5" w:rsidRDefault="00927A90" w:rsidP="00437144">
            <w:pPr>
              <w:spacing w:line="240" w:lineRule="auto"/>
              <w:rPr>
                <w:rFonts w:eastAsia="Times New Roman" w:cs="Times New Roman"/>
                <w:szCs w:val="24"/>
              </w:rPr>
            </w:pPr>
            <w:r>
              <w:rPr>
                <w:rFonts w:eastAsia="Times New Roman" w:cs="Times New Roman"/>
                <w:szCs w:val="24"/>
              </w:rPr>
              <w:t>Northern Plains (</w:t>
            </w:r>
            <w:r w:rsidRPr="00F00ED5">
              <w:rPr>
                <w:rFonts w:eastAsia="Times New Roman" w:cs="Times New Roman"/>
                <w:szCs w:val="24"/>
              </w:rPr>
              <w:t>NPL</w:t>
            </w:r>
            <w:r>
              <w:rPr>
                <w:rFonts w:eastAsia="Times New Roman" w:cs="Times New Roman"/>
                <w:szCs w:val="24"/>
              </w:rPr>
              <w:t>)</w:t>
            </w:r>
          </w:p>
        </w:tc>
        <w:tc>
          <w:tcPr>
            <w:tcW w:w="624"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78</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2935.68</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6134.46</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334.95</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596.52</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37.53</w:t>
            </w:r>
          </w:p>
        </w:tc>
        <w:tc>
          <w:tcPr>
            <w:tcW w:w="1033" w:type="dxa"/>
            <w:tcBorders>
              <w:top w:val="single" w:sz="4" w:space="0" w:color="auto"/>
              <w:left w:val="single" w:sz="4" w:space="0" w:color="auto"/>
              <w:bottom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68.53</w:t>
            </w:r>
          </w:p>
        </w:tc>
      </w:tr>
      <w:tr w:rsidR="00927A90" w:rsidTr="00437144">
        <w:trPr>
          <w:trHeight w:val="432"/>
        </w:trPr>
        <w:tc>
          <w:tcPr>
            <w:tcW w:w="468" w:type="dxa"/>
            <w:vMerge/>
            <w:tcBorders>
              <w:right w:val="single" w:sz="4" w:space="0" w:color="auto"/>
            </w:tcBorders>
          </w:tcPr>
          <w:p w:rsidR="00927A90" w:rsidRDefault="00927A90" w:rsidP="00437144">
            <w:pPr>
              <w:spacing w:line="276" w:lineRule="auto"/>
              <w:jc w:val="center"/>
              <w:rPr>
                <w:rFonts w:cs="Times New Roman"/>
              </w:rPr>
            </w:pPr>
          </w:p>
        </w:tc>
        <w:tc>
          <w:tcPr>
            <w:tcW w:w="2790" w:type="dxa"/>
            <w:tcBorders>
              <w:top w:val="single" w:sz="4" w:space="0" w:color="auto"/>
              <w:bottom w:val="single" w:sz="4" w:space="0" w:color="auto"/>
              <w:right w:val="single" w:sz="4" w:space="0" w:color="auto"/>
            </w:tcBorders>
            <w:vAlign w:val="center"/>
          </w:tcPr>
          <w:p w:rsidR="00927A90" w:rsidRPr="00F00ED5" w:rsidRDefault="00927A90" w:rsidP="00437144">
            <w:pPr>
              <w:spacing w:line="240" w:lineRule="auto"/>
              <w:rPr>
                <w:rFonts w:eastAsia="Times New Roman" w:cs="Times New Roman"/>
                <w:szCs w:val="24"/>
              </w:rPr>
            </w:pPr>
            <w:r>
              <w:rPr>
                <w:rFonts w:eastAsia="Times New Roman" w:cs="Times New Roman"/>
                <w:szCs w:val="24"/>
              </w:rPr>
              <w:t>Southern Appalachians (</w:t>
            </w:r>
            <w:r w:rsidRPr="00F00ED5">
              <w:rPr>
                <w:rFonts w:eastAsia="Times New Roman" w:cs="Times New Roman"/>
                <w:szCs w:val="24"/>
              </w:rPr>
              <w:t>SAP</w:t>
            </w:r>
            <w:r>
              <w:rPr>
                <w:rFonts w:eastAsia="Times New Roman" w:cs="Times New Roman"/>
                <w:szCs w:val="24"/>
              </w:rPr>
              <w:t>)</w:t>
            </w:r>
          </w:p>
        </w:tc>
        <w:tc>
          <w:tcPr>
            <w:tcW w:w="624"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90</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510.37</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531.63</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52.77</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87.60</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17.72</w:t>
            </w:r>
          </w:p>
        </w:tc>
        <w:tc>
          <w:tcPr>
            <w:tcW w:w="1033" w:type="dxa"/>
            <w:tcBorders>
              <w:top w:val="single" w:sz="4" w:space="0" w:color="auto"/>
              <w:left w:val="single" w:sz="4" w:space="0" w:color="auto"/>
              <w:bottom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22.43</w:t>
            </w:r>
          </w:p>
        </w:tc>
      </w:tr>
      <w:tr w:rsidR="00927A90" w:rsidTr="00437144">
        <w:trPr>
          <w:trHeight w:val="432"/>
        </w:trPr>
        <w:tc>
          <w:tcPr>
            <w:tcW w:w="468" w:type="dxa"/>
            <w:vMerge/>
            <w:tcBorders>
              <w:right w:val="single" w:sz="4" w:space="0" w:color="auto"/>
            </w:tcBorders>
          </w:tcPr>
          <w:p w:rsidR="00927A90" w:rsidRDefault="00927A90" w:rsidP="00437144">
            <w:pPr>
              <w:spacing w:line="276" w:lineRule="auto"/>
              <w:jc w:val="center"/>
              <w:rPr>
                <w:rFonts w:cs="Times New Roman"/>
              </w:rPr>
            </w:pPr>
          </w:p>
        </w:tc>
        <w:tc>
          <w:tcPr>
            <w:tcW w:w="2790" w:type="dxa"/>
            <w:tcBorders>
              <w:top w:val="single" w:sz="4" w:space="0" w:color="auto"/>
              <w:bottom w:val="single" w:sz="4" w:space="0" w:color="auto"/>
              <w:right w:val="single" w:sz="4" w:space="0" w:color="auto"/>
            </w:tcBorders>
            <w:vAlign w:val="center"/>
          </w:tcPr>
          <w:p w:rsidR="00927A90" w:rsidRPr="00F00ED5" w:rsidRDefault="00927A90" w:rsidP="00437144">
            <w:pPr>
              <w:spacing w:line="240" w:lineRule="auto"/>
              <w:rPr>
                <w:rFonts w:eastAsia="Times New Roman" w:cs="Times New Roman"/>
                <w:szCs w:val="24"/>
              </w:rPr>
            </w:pPr>
            <w:r>
              <w:rPr>
                <w:rFonts w:eastAsia="Times New Roman" w:cs="Times New Roman"/>
                <w:szCs w:val="24"/>
              </w:rPr>
              <w:t>Southern Plains (</w:t>
            </w:r>
            <w:r w:rsidRPr="00F00ED5">
              <w:rPr>
                <w:rFonts w:eastAsia="Times New Roman" w:cs="Times New Roman"/>
                <w:szCs w:val="24"/>
              </w:rPr>
              <w:t>SPL</w:t>
            </w:r>
            <w:r>
              <w:rPr>
                <w:rFonts w:eastAsia="Times New Roman" w:cs="Times New Roman"/>
                <w:szCs w:val="24"/>
              </w:rPr>
              <w:t>)</w:t>
            </w:r>
          </w:p>
        </w:tc>
        <w:tc>
          <w:tcPr>
            <w:tcW w:w="624"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69</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2897.26</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6654.55</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262.26</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496.75</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53.82</w:t>
            </w:r>
          </w:p>
        </w:tc>
        <w:tc>
          <w:tcPr>
            <w:tcW w:w="1033" w:type="dxa"/>
            <w:tcBorders>
              <w:top w:val="single" w:sz="4" w:space="0" w:color="auto"/>
              <w:left w:val="single" w:sz="4" w:space="0" w:color="auto"/>
              <w:bottom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91.14</w:t>
            </w:r>
          </w:p>
        </w:tc>
      </w:tr>
      <w:tr w:rsidR="00927A90" w:rsidTr="00437144">
        <w:trPr>
          <w:trHeight w:val="432"/>
        </w:trPr>
        <w:tc>
          <w:tcPr>
            <w:tcW w:w="468" w:type="dxa"/>
            <w:vMerge/>
            <w:tcBorders>
              <w:right w:val="single" w:sz="4" w:space="0" w:color="auto"/>
            </w:tcBorders>
          </w:tcPr>
          <w:p w:rsidR="00927A90" w:rsidRDefault="00927A90" w:rsidP="00437144">
            <w:pPr>
              <w:spacing w:line="276" w:lineRule="auto"/>
              <w:jc w:val="center"/>
              <w:rPr>
                <w:rFonts w:cs="Times New Roman"/>
              </w:rPr>
            </w:pPr>
          </w:p>
        </w:tc>
        <w:tc>
          <w:tcPr>
            <w:tcW w:w="2790" w:type="dxa"/>
            <w:tcBorders>
              <w:top w:val="single" w:sz="4" w:space="0" w:color="auto"/>
              <w:bottom w:val="single" w:sz="4" w:space="0" w:color="auto"/>
              <w:right w:val="single" w:sz="4" w:space="0" w:color="auto"/>
            </w:tcBorders>
            <w:vAlign w:val="center"/>
          </w:tcPr>
          <w:p w:rsidR="00927A90" w:rsidRPr="00F00ED5" w:rsidRDefault="00F82E8C" w:rsidP="00437144">
            <w:pPr>
              <w:spacing w:line="240" w:lineRule="auto"/>
              <w:rPr>
                <w:rFonts w:eastAsia="Times New Roman" w:cs="Times New Roman"/>
                <w:szCs w:val="24"/>
              </w:rPr>
            </w:pPr>
            <w:r>
              <w:rPr>
                <w:rFonts w:eastAsia="Times New Roman" w:cs="Times New Roman"/>
                <w:szCs w:val="24"/>
              </w:rPr>
              <w:t>Temperate Plains (</w:t>
            </w:r>
            <w:r w:rsidR="00927A90" w:rsidRPr="00F00ED5">
              <w:rPr>
                <w:rFonts w:eastAsia="Times New Roman" w:cs="Times New Roman"/>
                <w:szCs w:val="24"/>
              </w:rPr>
              <w:t>TPL</w:t>
            </w:r>
            <w:r>
              <w:rPr>
                <w:rFonts w:eastAsia="Times New Roman" w:cs="Times New Roman"/>
                <w:szCs w:val="24"/>
              </w:rPr>
              <w:t>)</w:t>
            </w:r>
          </w:p>
        </w:tc>
        <w:tc>
          <w:tcPr>
            <w:tcW w:w="624"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140</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1637.16</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1193.41</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177.63</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224.84</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46.35</w:t>
            </w:r>
          </w:p>
        </w:tc>
        <w:tc>
          <w:tcPr>
            <w:tcW w:w="1033" w:type="dxa"/>
            <w:tcBorders>
              <w:top w:val="single" w:sz="4" w:space="0" w:color="auto"/>
              <w:left w:val="single" w:sz="4" w:space="0" w:color="auto"/>
              <w:bottom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62.44</w:t>
            </w:r>
          </w:p>
        </w:tc>
      </w:tr>
      <w:tr w:rsidR="00927A90" w:rsidTr="00437144">
        <w:trPr>
          <w:trHeight w:val="432"/>
        </w:trPr>
        <w:tc>
          <w:tcPr>
            <w:tcW w:w="468" w:type="dxa"/>
            <w:vMerge/>
            <w:tcBorders>
              <w:right w:val="single" w:sz="4" w:space="0" w:color="auto"/>
            </w:tcBorders>
          </w:tcPr>
          <w:p w:rsidR="00927A90" w:rsidRDefault="00927A90" w:rsidP="00437144">
            <w:pPr>
              <w:spacing w:line="276" w:lineRule="auto"/>
              <w:jc w:val="center"/>
              <w:rPr>
                <w:rFonts w:cs="Times New Roman"/>
              </w:rPr>
            </w:pPr>
          </w:p>
        </w:tc>
        <w:tc>
          <w:tcPr>
            <w:tcW w:w="2790" w:type="dxa"/>
            <w:tcBorders>
              <w:top w:val="single" w:sz="4" w:space="0" w:color="auto"/>
              <w:bottom w:val="single" w:sz="4" w:space="0" w:color="auto"/>
              <w:right w:val="single" w:sz="4" w:space="0" w:color="auto"/>
            </w:tcBorders>
            <w:vAlign w:val="center"/>
          </w:tcPr>
          <w:p w:rsidR="00927A90" w:rsidRPr="00F00ED5" w:rsidRDefault="00927A90" w:rsidP="00437144">
            <w:pPr>
              <w:spacing w:line="240" w:lineRule="auto"/>
              <w:rPr>
                <w:rFonts w:eastAsia="Times New Roman" w:cs="Times New Roman"/>
                <w:szCs w:val="24"/>
              </w:rPr>
            </w:pPr>
            <w:r>
              <w:rPr>
                <w:rFonts w:eastAsia="Times New Roman" w:cs="Times New Roman"/>
                <w:szCs w:val="24"/>
              </w:rPr>
              <w:t>Upper Mid-West (</w:t>
            </w:r>
            <w:r w:rsidRPr="00F00ED5">
              <w:rPr>
                <w:rFonts w:eastAsia="Times New Roman" w:cs="Times New Roman"/>
                <w:szCs w:val="24"/>
              </w:rPr>
              <w:t>UMW</w:t>
            </w:r>
            <w:r>
              <w:rPr>
                <w:rFonts w:eastAsia="Times New Roman" w:cs="Times New Roman"/>
                <w:szCs w:val="24"/>
              </w:rPr>
              <w:t>)</w:t>
            </w:r>
          </w:p>
        </w:tc>
        <w:tc>
          <w:tcPr>
            <w:tcW w:w="624"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120</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851.17</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713.05</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41.78</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55.15</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13.39</w:t>
            </w:r>
          </w:p>
        </w:tc>
        <w:tc>
          <w:tcPr>
            <w:tcW w:w="1033" w:type="dxa"/>
            <w:tcBorders>
              <w:top w:val="single" w:sz="4" w:space="0" w:color="auto"/>
              <w:left w:val="single" w:sz="4" w:space="0" w:color="auto"/>
              <w:bottom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21.13</w:t>
            </w:r>
          </w:p>
        </w:tc>
      </w:tr>
      <w:tr w:rsidR="00927A90" w:rsidTr="00437144">
        <w:trPr>
          <w:trHeight w:val="432"/>
        </w:trPr>
        <w:tc>
          <w:tcPr>
            <w:tcW w:w="468" w:type="dxa"/>
            <w:vMerge/>
            <w:tcBorders>
              <w:right w:val="single" w:sz="4" w:space="0" w:color="auto"/>
            </w:tcBorders>
          </w:tcPr>
          <w:p w:rsidR="00927A90" w:rsidRDefault="00927A90" w:rsidP="00437144">
            <w:pPr>
              <w:spacing w:line="276" w:lineRule="auto"/>
              <w:jc w:val="center"/>
              <w:rPr>
                <w:rFonts w:cs="Times New Roman"/>
              </w:rPr>
            </w:pPr>
          </w:p>
        </w:tc>
        <w:tc>
          <w:tcPr>
            <w:tcW w:w="2790" w:type="dxa"/>
            <w:tcBorders>
              <w:top w:val="single" w:sz="4" w:space="0" w:color="auto"/>
              <w:bottom w:val="single" w:sz="4" w:space="0" w:color="auto"/>
              <w:right w:val="single" w:sz="4" w:space="0" w:color="auto"/>
            </w:tcBorders>
            <w:vAlign w:val="center"/>
          </w:tcPr>
          <w:p w:rsidR="00927A90" w:rsidRPr="00F00ED5" w:rsidRDefault="00927A90" w:rsidP="00437144">
            <w:pPr>
              <w:spacing w:line="240" w:lineRule="auto"/>
              <w:rPr>
                <w:rFonts w:eastAsia="Times New Roman" w:cs="Times New Roman"/>
                <w:szCs w:val="24"/>
              </w:rPr>
            </w:pPr>
            <w:r>
              <w:rPr>
                <w:rFonts w:eastAsia="Times New Roman" w:cs="Times New Roman"/>
                <w:szCs w:val="24"/>
              </w:rPr>
              <w:t>Western Mountains (</w:t>
            </w:r>
            <w:r w:rsidRPr="00F00ED5">
              <w:rPr>
                <w:rFonts w:eastAsia="Times New Roman" w:cs="Times New Roman"/>
                <w:szCs w:val="24"/>
              </w:rPr>
              <w:t>WMT</w:t>
            </w:r>
            <w:r>
              <w:rPr>
                <w:rFonts w:eastAsia="Times New Roman" w:cs="Times New Roman"/>
                <w:szCs w:val="24"/>
              </w:rPr>
              <w:t>)</w:t>
            </w:r>
          </w:p>
        </w:tc>
        <w:tc>
          <w:tcPr>
            <w:tcW w:w="624"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168</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396.71</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504.60</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54.61</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93.21</w:t>
            </w:r>
          </w:p>
        </w:tc>
        <w:tc>
          <w:tcPr>
            <w:tcW w:w="1033" w:type="dxa"/>
            <w:tcBorders>
              <w:top w:val="single" w:sz="4" w:space="0" w:color="auto"/>
              <w:left w:val="single" w:sz="4" w:space="0" w:color="auto"/>
              <w:bottom w:val="single" w:sz="4"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7.51</w:t>
            </w:r>
          </w:p>
        </w:tc>
        <w:tc>
          <w:tcPr>
            <w:tcW w:w="1033" w:type="dxa"/>
            <w:tcBorders>
              <w:top w:val="single" w:sz="4" w:space="0" w:color="auto"/>
              <w:left w:val="single" w:sz="4" w:space="0" w:color="auto"/>
              <w:bottom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21.45</w:t>
            </w:r>
          </w:p>
        </w:tc>
      </w:tr>
      <w:tr w:rsidR="00927A90" w:rsidTr="00437144">
        <w:trPr>
          <w:trHeight w:val="432"/>
        </w:trPr>
        <w:tc>
          <w:tcPr>
            <w:tcW w:w="468" w:type="dxa"/>
            <w:vMerge/>
            <w:tcBorders>
              <w:bottom w:val="single" w:sz="12" w:space="0" w:color="auto"/>
              <w:right w:val="single" w:sz="4" w:space="0" w:color="auto"/>
            </w:tcBorders>
          </w:tcPr>
          <w:p w:rsidR="00927A90" w:rsidRDefault="00927A90" w:rsidP="00437144">
            <w:pPr>
              <w:spacing w:line="276" w:lineRule="auto"/>
              <w:jc w:val="center"/>
              <w:rPr>
                <w:rFonts w:cs="Times New Roman"/>
              </w:rPr>
            </w:pPr>
          </w:p>
        </w:tc>
        <w:tc>
          <w:tcPr>
            <w:tcW w:w="2790" w:type="dxa"/>
            <w:tcBorders>
              <w:top w:val="single" w:sz="4" w:space="0" w:color="auto"/>
              <w:bottom w:val="single" w:sz="12" w:space="0" w:color="auto"/>
              <w:right w:val="single" w:sz="4" w:space="0" w:color="auto"/>
            </w:tcBorders>
            <w:vAlign w:val="center"/>
          </w:tcPr>
          <w:p w:rsidR="00927A90" w:rsidRPr="00F00ED5" w:rsidRDefault="00927A90" w:rsidP="00437144">
            <w:pPr>
              <w:spacing w:line="240" w:lineRule="auto"/>
              <w:rPr>
                <w:rFonts w:eastAsia="Times New Roman" w:cs="Times New Roman"/>
                <w:szCs w:val="24"/>
              </w:rPr>
            </w:pPr>
            <w:r>
              <w:rPr>
                <w:rFonts w:eastAsia="Times New Roman" w:cs="Times New Roman"/>
                <w:szCs w:val="24"/>
              </w:rPr>
              <w:t>Xeric (</w:t>
            </w:r>
            <w:r w:rsidRPr="00F00ED5">
              <w:rPr>
                <w:rFonts w:eastAsia="Times New Roman" w:cs="Times New Roman"/>
                <w:szCs w:val="24"/>
              </w:rPr>
              <w:t>XER</w:t>
            </w:r>
            <w:r>
              <w:rPr>
                <w:rFonts w:eastAsia="Times New Roman" w:cs="Times New Roman"/>
                <w:szCs w:val="24"/>
              </w:rPr>
              <w:t>)</w:t>
            </w:r>
          </w:p>
        </w:tc>
        <w:tc>
          <w:tcPr>
            <w:tcW w:w="624" w:type="dxa"/>
            <w:tcBorders>
              <w:top w:val="single" w:sz="4" w:space="0" w:color="auto"/>
              <w:left w:val="single" w:sz="4" w:space="0" w:color="auto"/>
              <w:bottom w:val="single" w:sz="12"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79</w:t>
            </w:r>
          </w:p>
        </w:tc>
        <w:tc>
          <w:tcPr>
            <w:tcW w:w="1033" w:type="dxa"/>
            <w:tcBorders>
              <w:top w:val="single" w:sz="4" w:space="0" w:color="auto"/>
              <w:left w:val="single" w:sz="4" w:space="0" w:color="auto"/>
              <w:bottom w:val="single" w:sz="12"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830.11</w:t>
            </w:r>
          </w:p>
        </w:tc>
        <w:tc>
          <w:tcPr>
            <w:tcW w:w="1033" w:type="dxa"/>
            <w:tcBorders>
              <w:top w:val="single" w:sz="4" w:space="0" w:color="auto"/>
              <w:left w:val="single" w:sz="4" w:space="0" w:color="auto"/>
              <w:bottom w:val="single" w:sz="12"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1054.13</w:t>
            </w:r>
          </w:p>
        </w:tc>
        <w:tc>
          <w:tcPr>
            <w:tcW w:w="1033" w:type="dxa"/>
            <w:tcBorders>
              <w:top w:val="single" w:sz="4" w:space="0" w:color="auto"/>
              <w:left w:val="single" w:sz="4" w:space="0" w:color="auto"/>
              <w:bottom w:val="single" w:sz="12"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132.16</w:t>
            </w:r>
          </w:p>
        </w:tc>
        <w:tc>
          <w:tcPr>
            <w:tcW w:w="1033" w:type="dxa"/>
            <w:tcBorders>
              <w:top w:val="single" w:sz="4" w:space="0" w:color="auto"/>
              <w:left w:val="single" w:sz="4" w:space="0" w:color="auto"/>
              <w:bottom w:val="single" w:sz="12"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181.00</w:t>
            </w:r>
          </w:p>
        </w:tc>
        <w:tc>
          <w:tcPr>
            <w:tcW w:w="1033" w:type="dxa"/>
            <w:tcBorders>
              <w:top w:val="single" w:sz="4" w:space="0" w:color="auto"/>
              <w:left w:val="single" w:sz="4" w:space="0" w:color="auto"/>
              <w:bottom w:val="single" w:sz="12" w:space="0" w:color="auto"/>
              <w:right w:val="single" w:sz="4"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26.23</w:t>
            </w:r>
          </w:p>
        </w:tc>
        <w:tc>
          <w:tcPr>
            <w:tcW w:w="1033" w:type="dxa"/>
            <w:tcBorders>
              <w:top w:val="single" w:sz="4" w:space="0" w:color="auto"/>
              <w:left w:val="single" w:sz="4" w:space="0" w:color="auto"/>
              <w:bottom w:val="single" w:sz="12" w:space="0" w:color="auto"/>
            </w:tcBorders>
            <w:vAlign w:val="center"/>
          </w:tcPr>
          <w:p w:rsidR="00927A90" w:rsidRPr="00F00ED5" w:rsidRDefault="00927A90" w:rsidP="00437144">
            <w:pPr>
              <w:spacing w:line="240" w:lineRule="auto"/>
              <w:jc w:val="right"/>
              <w:rPr>
                <w:rFonts w:eastAsia="Times New Roman" w:cs="Times New Roman"/>
                <w:szCs w:val="24"/>
              </w:rPr>
            </w:pPr>
            <w:r w:rsidRPr="00F00ED5">
              <w:rPr>
                <w:rFonts w:eastAsia="Times New Roman" w:cs="Times New Roman"/>
                <w:szCs w:val="24"/>
              </w:rPr>
              <w:t>91.96</w:t>
            </w:r>
          </w:p>
        </w:tc>
      </w:tr>
    </w:tbl>
    <w:p w:rsidR="001769CA" w:rsidRDefault="001769CA">
      <w:pPr>
        <w:spacing w:line="276" w:lineRule="auto"/>
        <w:rPr>
          <w:rFonts w:cs="Times New Roman"/>
        </w:rPr>
      </w:pPr>
      <w:r>
        <w:rPr>
          <w:rFonts w:cs="Times New Roman"/>
        </w:rPr>
        <w:br w:type="page"/>
      </w:r>
    </w:p>
    <w:p w:rsidR="008A2EC4" w:rsidRPr="00FF414C" w:rsidRDefault="008A2EC4" w:rsidP="00FF414C">
      <w:pPr>
        <w:spacing w:line="276" w:lineRule="auto"/>
        <w:rPr>
          <w:rFonts w:cs="Times New Roman"/>
        </w:rPr>
      </w:pPr>
    </w:p>
    <w:p w:rsidR="00FF414C" w:rsidRDefault="00FF414C" w:rsidP="008A2EC4">
      <w:pPr>
        <w:pStyle w:val="Caption"/>
        <w:rPr>
          <w:color w:val="auto"/>
          <w:sz w:val="24"/>
          <w:szCs w:val="24"/>
        </w:rPr>
      </w:pPr>
      <w:r>
        <w:rPr>
          <w:noProof/>
          <w:color w:val="auto"/>
          <w:sz w:val="24"/>
          <w:szCs w:val="24"/>
        </w:rPr>
        <w:lastRenderedPageBreak/>
        <w:t>Figure Captions</w:t>
      </w:r>
    </w:p>
    <w:p w:rsidR="00C07A67" w:rsidRDefault="008A2EC4" w:rsidP="008A2EC4">
      <w:pPr>
        <w:pStyle w:val="Caption"/>
        <w:rPr>
          <w:b w:val="0"/>
          <w:color w:val="auto"/>
          <w:sz w:val="24"/>
          <w:szCs w:val="24"/>
        </w:rPr>
      </w:pPr>
      <w:proofErr w:type="gramStart"/>
      <w:r w:rsidRPr="00FF414C">
        <w:rPr>
          <w:b w:val="0"/>
          <w:color w:val="auto"/>
          <w:sz w:val="24"/>
          <w:szCs w:val="24"/>
        </w:rPr>
        <w:t xml:space="preserve">Figure </w:t>
      </w:r>
      <w:proofErr w:type="gramEnd"/>
      <w:r w:rsidR="00CA6A1E" w:rsidRPr="00FF414C">
        <w:rPr>
          <w:b w:val="0"/>
          <w:color w:val="auto"/>
          <w:sz w:val="24"/>
          <w:szCs w:val="24"/>
        </w:rPr>
        <w:fldChar w:fldCharType="begin"/>
      </w:r>
      <w:r w:rsidRPr="00FF414C">
        <w:rPr>
          <w:b w:val="0"/>
          <w:color w:val="auto"/>
          <w:sz w:val="24"/>
          <w:szCs w:val="24"/>
        </w:rPr>
        <w:instrText xml:space="preserve"> SEQ Figure \* ARABIC </w:instrText>
      </w:r>
      <w:r w:rsidR="00CA6A1E" w:rsidRPr="00FF414C">
        <w:rPr>
          <w:b w:val="0"/>
          <w:color w:val="auto"/>
          <w:sz w:val="24"/>
          <w:szCs w:val="24"/>
        </w:rPr>
        <w:fldChar w:fldCharType="separate"/>
      </w:r>
      <w:r w:rsidR="00F82E8C">
        <w:rPr>
          <w:b w:val="0"/>
          <w:noProof/>
          <w:color w:val="auto"/>
          <w:sz w:val="24"/>
          <w:szCs w:val="24"/>
        </w:rPr>
        <w:t>1</w:t>
      </w:r>
      <w:r w:rsidR="00CA6A1E" w:rsidRPr="00FF414C">
        <w:rPr>
          <w:b w:val="0"/>
          <w:color w:val="auto"/>
          <w:sz w:val="24"/>
          <w:szCs w:val="24"/>
        </w:rPr>
        <w:fldChar w:fldCharType="end"/>
      </w:r>
      <w:proofErr w:type="gramStart"/>
      <w:r w:rsidRPr="00FF414C">
        <w:rPr>
          <w:b w:val="0"/>
          <w:color w:val="auto"/>
          <w:sz w:val="24"/>
          <w:szCs w:val="24"/>
        </w:rPr>
        <w:t>.</w:t>
      </w:r>
      <w:proofErr w:type="gramEnd"/>
      <w:r w:rsidRPr="00FF414C">
        <w:rPr>
          <w:b w:val="0"/>
          <w:color w:val="auto"/>
          <w:sz w:val="24"/>
          <w:szCs w:val="24"/>
        </w:rPr>
        <w:t xml:space="preserve"> </w:t>
      </w:r>
      <w:proofErr w:type="spellStart"/>
      <w:r w:rsidRPr="00FF414C">
        <w:rPr>
          <w:b w:val="0"/>
          <w:color w:val="auto"/>
          <w:sz w:val="24"/>
          <w:szCs w:val="24"/>
        </w:rPr>
        <w:t>Scatterplot</w:t>
      </w:r>
      <w:proofErr w:type="spellEnd"/>
      <w:r w:rsidRPr="00FF414C">
        <w:rPr>
          <w:b w:val="0"/>
          <w:color w:val="auto"/>
          <w:sz w:val="24"/>
          <w:szCs w:val="24"/>
        </w:rPr>
        <w:t xml:space="preserve"> showing linear </w:t>
      </w:r>
      <w:r w:rsidR="00FF414C" w:rsidRPr="00FF414C">
        <w:rPr>
          <w:b w:val="0"/>
          <w:color w:val="auto"/>
          <w:sz w:val="24"/>
          <w:szCs w:val="24"/>
        </w:rPr>
        <w:t>relationship</w:t>
      </w:r>
      <w:r w:rsidRPr="00FF414C">
        <w:rPr>
          <w:b w:val="0"/>
          <w:color w:val="auto"/>
          <w:sz w:val="24"/>
          <w:szCs w:val="24"/>
        </w:rPr>
        <w:t xml:space="preserve"> between total nitrogen </w:t>
      </w:r>
      <w:r w:rsidR="00FF414C" w:rsidRPr="00FF414C">
        <w:rPr>
          <w:b w:val="0"/>
          <w:color w:val="auto"/>
          <w:sz w:val="24"/>
          <w:szCs w:val="24"/>
        </w:rPr>
        <w:t>and total phosphorus for lakes sampled in 2007 and 2012 as part of the US Environmental Protection Agency’s National Lakes Assessment</w:t>
      </w:r>
      <w:r w:rsidRPr="00FF414C">
        <w:rPr>
          <w:b w:val="0"/>
          <w:color w:val="auto"/>
          <w:sz w:val="24"/>
          <w:szCs w:val="24"/>
        </w:rPr>
        <w:t>.</w:t>
      </w:r>
      <w:r w:rsidR="00FF414C">
        <w:rPr>
          <w:b w:val="0"/>
          <w:color w:val="auto"/>
          <w:sz w:val="24"/>
          <w:szCs w:val="24"/>
        </w:rPr>
        <w:br/>
      </w:r>
    </w:p>
    <w:p w:rsidR="00B579AD" w:rsidRDefault="00FF414C" w:rsidP="00FF414C">
      <w:pPr>
        <w:spacing w:line="240" w:lineRule="auto"/>
        <w:rPr>
          <w:szCs w:val="24"/>
        </w:rPr>
      </w:pPr>
      <w:proofErr w:type="gramStart"/>
      <w:r>
        <w:t>Figure 2.</w:t>
      </w:r>
      <w:proofErr w:type="gramEnd"/>
      <w:r>
        <w:t xml:space="preserve"> Map of United States, eco-regions and </w:t>
      </w:r>
      <w:r w:rsidRPr="00FF414C">
        <w:rPr>
          <w:szCs w:val="24"/>
        </w:rPr>
        <w:t>lakes sampled in 2007 and 2012 as part of the US Environmental Protection Agency’s National Lakes Assessment.</w:t>
      </w:r>
    </w:p>
    <w:p w:rsidR="00B579AD" w:rsidRDefault="00B579AD" w:rsidP="00FF414C">
      <w:pPr>
        <w:spacing w:line="240" w:lineRule="auto"/>
        <w:rPr>
          <w:szCs w:val="24"/>
        </w:rPr>
      </w:pPr>
    </w:p>
    <w:p w:rsidR="00B579AD" w:rsidRDefault="00B579AD" w:rsidP="00FF414C">
      <w:pPr>
        <w:spacing w:line="240" w:lineRule="auto"/>
        <w:rPr>
          <w:szCs w:val="24"/>
        </w:rPr>
      </w:pPr>
      <w:proofErr w:type="gramStart"/>
      <w:r>
        <w:rPr>
          <w:szCs w:val="24"/>
        </w:rPr>
        <w:t>Figure 3.</w:t>
      </w:r>
      <w:proofErr w:type="gramEnd"/>
      <w:r>
        <w:rPr>
          <w:szCs w:val="24"/>
        </w:rPr>
        <w:t xml:space="preserve"> </w:t>
      </w:r>
      <w:proofErr w:type="gramStart"/>
      <w:r>
        <w:rPr>
          <w:szCs w:val="24"/>
        </w:rPr>
        <w:t>Plot of Principal Components 1 and Principal Components 2.</w:t>
      </w:r>
      <w:proofErr w:type="gramEnd"/>
      <w:r>
        <w:rPr>
          <w:szCs w:val="24"/>
        </w:rPr>
        <w:t xml:space="preserve">  Colors represent </w:t>
      </w:r>
      <w:proofErr w:type="spellStart"/>
      <w:r>
        <w:rPr>
          <w:szCs w:val="24"/>
        </w:rPr>
        <w:t>trophic</w:t>
      </w:r>
      <w:proofErr w:type="spellEnd"/>
      <w:r>
        <w:rPr>
          <w:szCs w:val="24"/>
        </w:rPr>
        <w:t xml:space="preserve"> status as defined by </w:t>
      </w:r>
      <w:proofErr w:type="spellStart"/>
      <w:r>
        <w:rPr>
          <w:szCs w:val="24"/>
        </w:rPr>
        <w:t>Chl</w:t>
      </w:r>
      <w:proofErr w:type="spellEnd"/>
      <w:r>
        <w:rPr>
          <w:szCs w:val="24"/>
        </w:rPr>
        <w:t xml:space="preserve"> </w:t>
      </w:r>
      <w:r>
        <w:rPr>
          <w:i/>
          <w:szCs w:val="24"/>
        </w:rPr>
        <w:t>a</w:t>
      </w:r>
      <w:r>
        <w:rPr>
          <w:szCs w:val="24"/>
        </w:rPr>
        <w:t xml:space="preserve"> </w:t>
      </w:r>
      <w:r w:rsidR="003B6F25">
        <w:rPr>
          <w:szCs w:val="24"/>
        </w:rPr>
        <w:t xml:space="preserve">cutoffs from the National Lakes Assessment </w:t>
      </w:r>
      <w:r w:rsidR="003B6F25">
        <w:rPr>
          <w:szCs w:val="24"/>
        </w:rPr>
        <w:fldChar w:fldCharType="begin"/>
      </w:r>
      <w:r w:rsidR="003B6F25">
        <w:rPr>
          <w:szCs w:val="24"/>
        </w:rPr>
        <w:instrText xml:space="preserve"> ADDIN ZOTERO_ITEM CSL_CITATION {"citationID":"1hf5mfm322","properties":{"formattedCitation":"(USEPA, 2009)","plainCitation":"(USEPA, 2009)"},"citationItems":[{"id":1296,"uris":["http://zotero.org/users/1472186/items/RVKJHNSS"],"uri":["http://zotero.org/users/1472186/items/RVKJHNSS"],"itemData":{"id":1296,"type":"report","title":"National Lakes Assessment: A Collaborative Survey of the Nation’s Lakes.","publisher-place":"Washington, D.C.","event-place":"Washington, D.C.","URL":"http://water.epa.gov/type/lakes/upload/nla_newlowres_fullrpt.pdf","collection-editor":[{"family":"U.S. Environmental Protection Agency","given":"Office of Water and Office of Research and Development"}],"author":[{"family":"USEPA","given":""}],"issued":{"date-parts":[["2009"]]}}}],"schema":"https://github.com/citation-style-language/schema/raw/master/csl-citation.json"} </w:instrText>
      </w:r>
      <w:r w:rsidR="003B6F25">
        <w:rPr>
          <w:szCs w:val="24"/>
        </w:rPr>
        <w:fldChar w:fldCharType="separate"/>
      </w:r>
      <w:r w:rsidR="003B6F25" w:rsidRPr="003B6F25">
        <w:rPr>
          <w:rFonts w:cs="Times New Roman"/>
        </w:rPr>
        <w:t>(USEPA, 2009)</w:t>
      </w:r>
      <w:r w:rsidR="003B6F25">
        <w:rPr>
          <w:szCs w:val="24"/>
        </w:rPr>
        <w:fldChar w:fldCharType="end"/>
      </w:r>
      <w:r w:rsidR="003B6F25">
        <w:rPr>
          <w:szCs w:val="24"/>
        </w:rPr>
        <w:t>.</w:t>
      </w:r>
      <w:r>
        <w:rPr>
          <w:szCs w:val="24"/>
        </w:rPr>
        <w:t xml:space="preserve"> </w:t>
      </w:r>
    </w:p>
    <w:p w:rsidR="00B579AD" w:rsidRDefault="00B579AD" w:rsidP="00FF414C">
      <w:pPr>
        <w:spacing w:line="240" w:lineRule="auto"/>
        <w:rPr>
          <w:szCs w:val="24"/>
        </w:rPr>
      </w:pPr>
    </w:p>
    <w:p w:rsidR="00B579AD" w:rsidRPr="003D579D" w:rsidRDefault="00B579AD" w:rsidP="00FF414C">
      <w:pPr>
        <w:spacing w:line="240" w:lineRule="auto"/>
        <w:rPr>
          <w:szCs w:val="24"/>
        </w:rPr>
      </w:pPr>
      <w:proofErr w:type="gramStart"/>
      <w:r>
        <w:rPr>
          <w:szCs w:val="24"/>
        </w:rPr>
        <w:t>Figure 4.</w:t>
      </w:r>
      <w:proofErr w:type="gramEnd"/>
      <w:r w:rsidR="003D579D">
        <w:rPr>
          <w:szCs w:val="24"/>
        </w:rPr>
        <w:t xml:space="preserve"> Predicted </w:t>
      </w:r>
      <w:proofErr w:type="spellStart"/>
      <w:r w:rsidR="003D579D">
        <w:rPr>
          <w:szCs w:val="24"/>
        </w:rPr>
        <w:t>Chl</w:t>
      </w:r>
      <w:proofErr w:type="spellEnd"/>
      <w:r w:rsidR="003D579D">
        <w:rPr>
          <w:szCs w:val="24"/>
        </w:rPr>
        <w:t xml:space="preserve"> </w:t>
      </w:r>
      <w:r w:rsidR="003D579D">
        <w:rPr>
          <w:i/>
          <w:szCs w:val="24"/>
        </w:rPr>
        <w:t xml:space="preserve">a </w:t>
      </w:r>
      <w:proofErr w:type="spellStart"/>
      <w:r w:rsidR="003D579D">
        <w:rPr>
          <w:szCs w:val="24"/>
        </w:rPr>
        <w:t>vs</w:t>
      </w:r>
      <w:proofErr w:type="spellEnd"/>
      <w:r w:rsidR="003D579D">
        <w:rPr>
          <w:szCs w:val="24"/>
        </w:rPr>
        <w:t xml:space="preserve"> Observed </w:t>
      </w:r>
      <w:proofErr w:type="spellStart"/>
      <w:r w:rsidR="003D579D">
        <w:rPr>
          <w:szCs w:val="24"/>
        </w:rPr>
        <w:t>Chl</w:t>
      </w:r>
      <w:proofErr w:type="spellEnd"/>
      <w:r w:rsidR="003D579D">
        <w:rPr>
          <w:szCs w:val="24"/>
        </w:rPr>
        <w:t xml:space="preserve"> </w:t>
      </w:r>
      <w:proofErr w:type="gramStart"/>
      <w:r w:rsidR="003D579D">
        <w:rPr>
          <w:i/>
          <w:szCs w:val="24"/>
        </w:rPr>
        <w:t xml:space="preserve">a </w:t>
      </w:r>
      <w:r w:rsidR="003D579D">
        <w:rPr>
          <w:szCs w:val="24"/>
        </w:rPr>
        <w:t>for</w:t>
      </w:r>
      <w:proofErr w:type="gramEnd"/>
      <w:r w:rsidR="003D579D">
        <w:rPr>
          <w:szCs w:val="24"/>
        </w:rPr>
        <w:t xml:space="preserve"> formulas 1 – 4.</w:t>
      </w:r>
    </w:p>
    <w:p w:rsidR="00B579AD" w:rsidRDefault="00B579AD" w:rsidP="00FF414C">
      <w:pPr>
        <w:spacing w:line="240" w:lineRule="auto"/>
        <w:rPr>
          <w:szCs w:val="24"/>
        </w:rPr>
      </w:pPr>
    </w:p>
    <w:p w:rsidR="00FF414C" w:rsidRPr="00FF414C" w:rsidRDefault="00B579AD" w:rsidP="00FF414C">
      <w:pPr>
        <w:spacing w:line="240" w:lineRule="auto"/>
      </w:pPr>
      <w:proofErr w:type="gramStart"/>
      <w:r>
        <w:rPr>
          <w:szCs w:val="24"/>
        </w:rPr>
        <w:t>Figure 5.</w:t>
      </w:r>
      <w:proofErr w:type="gramEnd"/>
      <w:r w:rsidR="003D579D">
        <w:rPr>
          <w:szCs w:val="24"/>
        </w:rPr>
        <w:t xml:space="preserve"> </w:t>
      </w:r>
      <w:proofErr w:type="spellStart"/>
      <w:proofErr w:type="gramStart"/>
      <w:r w:rsidR="003D579D">
        <w:rPr>
          <w:szCs w:val="24"/>
        </w:rPr>
        <w:t>Scatterplots</w:t>
      </w:r>
      <w:proofErr w:type="spellEnd"/>
      <w:r w:rsidR="003D579D">
        <w:rPr>
          <w:szCs w:val="24"/>
        </w:rPr>
        <w:t xml:space="preserve"> of TN and TP </w:t>
      </w:r>
      <w:r w:rsidR="00515BFA">
        <w:rPr>
          <w:szCs w:val="24"/>
        </w:rPr>
        <w:t xml:space="preserve">versus </w:t>
      </w:r>
      <w:proofErr w:type="spellStart"/>
      <w:r w:rsidR="00515BFA">
        <w:rPr>
          <w:szCs w:val="24"/>
        </w:rPr>
        <w:t>Chl</w:t>
      </w:r>
      <w:proofErr w:type="spellEnd"/>
      <w:r w:rsidR="00515BFA">
        <w:rPr>
          <w:szCs w:val="24"/>
        </w:rPr>
        <w:t xml:space="preserve"> </w:t>
      </w:r>
      <w:r w:rsidR="00515BFA">
        <w:rPr>
          <w:i/>
          <w:szCs w:val="24"/>
        </w:rPr>
        <w:t>a</w:t>
      </w:r>
      <w:r w:rsidR="00515BFA">
        <w:rPr>
          <w:szCs w:val="24"/>
        </w:rPr>
        <w:t>.</w:t>
      </w:r>
      <w:proofErr w:type="gramEnd"/>
      <w:r w:rsidR="00515BFA">
        <w:rPr>
          <w:szCs w:val="24"/>
        </w:rPr>
        <w:t xml:space="preserve">  Color</w:t>
      </w:r>
      <w:r w:rsidR="00FF414C" w:rsidRPr="00FF414C">
        <w:rPr>
          <w:szCs w:val="24"/>
        </w:rPr>
        <w:br/>
      </w:r>
    </w:p>
    <w:sectPr w:rsidR="00FF414C" w:rsidRPr="00FF414C" w:rsidSect="004C120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2E8C" w:rsidRDefault="00F82E8C" w:rsidP="00D94831">
      <w:pPr>
        <w:spacing w:after="0" w:line="240" w:lineRule="auto"/>
      </w:pPr>
      <w:r>
        <w:separator/>
      </w:r>
    </w:p>
  </w:endnote>
  <w:endnote w:type="continuationSeparator" w:id="0">
    <w:p w:rsidR="00F82E8C" w:rsidRDefault="00F82E8C" w:rsidP="00D948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2E8C" w:rsidRDefault="00F82E8C" w:rsidP="00D94831">
      <w:pPr>
        <w:spacing w:after="0" w:line="240" w:lineRule="auto"/>
      </w:pPr>
      <w:r>
        <w:separator/>
      </w:r>
    </w:p>
  </w:footnote>
  <w:footnote w:type="continuationSeparator" w:id="0">
    <w:p w:rsidR="00F82E8C" w:rsidRDefault="00F82E8C" w:rsidP="00D948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BD1EB8"/>
    <w:multiLevelType w:val="hybridMultilevel"/>
    <w:tmpl w:val="B908F2F8"/>
    <w:lvl w:ilvl="0" w:tplc="2EA027E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DC31C4"/>
    <w:multiLevelType w:val="hybridMultilevel"/>
    <w:tmpl w:val="8E0CE090"/>
    <w:lvl w:ilvl="0" w:tplc="B52CE0A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proofState w:spelling="clean" w:grammar="clean"/>
  <w:defaultTabStop w:val="720"/>
  <w:characterSpacingControl w:val="doNotCompress"/>
  <w:footnotePr>
    <w:footnote w:id="-1"/>
    <w:footnote w:id="0"/>
  </w:footnotePr>
  <w:endnotePr>
    <w:endnote w:id="-1"/>
    <w:endnote w:id="0"/>
  </w:endnotePr>
  <w:compat/>
  <w:rsids>
    <w:rsidRoot w:val="00C07A67"/>
    <w:rsid w:val="00037887"/>
    <w:rsid w:val="00052197"/>
    <w:rsid w:val="00062C65"/>
    <w:rsid w:val="00087E2A"/>
    <w:rsid w:val="000A4A8F"/>
    <w:rsid w:val="000F4F65"/>
    <w:rsid w:val="00164BA6"/>
    <w:rsid w:val="001769CA"/>
    <w:rsid w:val="00192827"/>
    <w:rsid w:val="001B2878"/>
    <w:rsid w:val="001C4AF9"/>
    <w:rsid w:val="001D599B"/>
    <w:rsid w:val="00204960"/>
    <w:rsid w:val="00217AE4"/>
    <w:rsid w:val="00286D4D"/>
    <w:rsid w:val="00291840"/>
    <w:rsid w:val="002C529A"/>
    <w:rsid w:val="002D55B2"/>
    <w:rsid w:val="0031031A"/>
    <w:rsid w:val="00352659"/>
    <w:rsid w:val="00357891"/>
    <w:rsid w:val="003607D9"/>
    <w:rsid w:val="003666E4"/>
    <w:rsid w:val="0038799B"/>
    <w:rsid w:val="003B5D9A"/>
    <w:rsid w:val="003B6F25"/>
    <w:rsid w:val="003D579D"/>
    <w:rsid w:val="00437144"/>
    <w:rsid w:val="00454E0A"/>
    <w:rsid w:val="00464694"/>
    <w:rsid w:val="004C120C"/>
    <w:rsid w:val="004D18D1"/>
    <w:rsid w:val="00515BFA"/>
    <w:rsid w:val="00533AA5"/>
    <w:rsid w:val="00560DEB"/>
    <w:rsid w:val="005867B9"/>
    <w:rsid w:val="006156B7"/>
    <w:rsid w:val="006835F7"/>
    <w:rsid w:val="006B5274"/>
    <w:rsid w:val="006D4861"/>
    <w:rsid w:val="006E46BE"/>
    <w:rsid w:val="00706C4B"/>
    <w:rsid w:val="007273E3"/>
    <w:rsid w:val="0077456E"/>
    <w:rsid w:val="00825FBF"/>
    <w:rsid w:val="00855F6D"/>
    <w:rsid w:val="00871D88"/>
    <w:rsid w:val="008A2EC4"/>
    <w:rsid w:val="008E1810"/>
    <w:rsid w:val="008E7FE8"/>
    <w:rsid w:val="008F7510"/>
    <w:rsid w:val="00927A90"/>
    <w:rsid w:val="00957C81"/>
    <w:rsid w:val="00960781"/>
    <w:rsid w:val="00973E14"/>
    <w:rsid w:val="009972D4"/>
    <w:rsid w:val="00A13D76"/>
    <w:rsid w:val="00A25335"/>
    <w:rsid w:val="00A82170"/>
    <w:rsid w:val="00A90ADA"/>
    <w:rsid w:val="00AC4B96"/>
    <w:rsid w:val="00AE5E6D"/>
    <w:rsid w:val="00B579AD"/>
    <w:rsid w:val="00B70833"/>
    <w:rsid w:val="00BC4ADC"/>
    <w:rsid w:val="00C03E46"/>
    <w:rsid w:val="00C07A67"/>
    <w:rsid w:val="00C11DD0"/>
    <w:rsid w:val="00C22F4E"/>
    <w:rsid w:val="00C260DF"/>
    <w:rsid w:val="00C37913"/>
    <w:rsid w:val="00C50758"/>
    <w:rsid w:val="00C746F9"/>
    <w:rsid w:val="00CA6A1E"/>
    <w:rsid w:val="00CD46F2"/>
    <w:rsid w:val="00D15FDC"/>
    <w:rsid w:val="00D857FB"/>
    <w:rsid w:val="00D94831"/>
    <w:rsid w:val="00DE745B"/>
    <w:rsid w:val="00DF65BD"/>
    <w:rsid w:val="00E375FC"/>
    <w:rsid w:val="00E40ADA"/>
    <w:rsid w:val="00E66F6D"/>
    <w:rsid w:val="00EB5A52"/>
    <w:rsid w:val="00EE6BE6"/>
    <w:rsid w:val="00F00ED5"/>
    <w:rsid w:val="00F67902"/>
    <w:rsid w:val="00F75094"/>
    <w:rsid w:val="00F82E8C"/>
    <w:rsid w:val="00FD272A"/>
    <w:rsid w:val="00FF414C"/>
    <w:rsid w:val="00FF42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891"/>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560DEB"/>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560DEB"/>
    <w:pPr>
      <w:keepNext/>
      <w:keepLines/>
      <w:spacing w:before="200" w:after="0"/>
      <w:outlineLvl w:val="1"/>
    </w:pPr>
    <w:rPr>
      <w:rFonts w:eastAsiaTheme="majorEastAsia" w:cstheme="majorBidi"/>
      <w:bCs/>
      <w:i/>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DEB"/>
    <w:pPr>
      <w:ind w:left="720"/>
      <w:contextualSpacing/>
    </w:pPr>
  </w:style>
  <w:style w:type="character" w:styleId="Hyperlink">
    <w:name w:val="Hyperlink"/>
    <w:basedOn w:val="DefaultParagraphFont"/>
    <w:uiPriority w:val="99"/>
    <w:unhideWhenUsed/>
    <w:rsid w:val="00560DEB"/>
    <w:rPr>
      <w:color w:val="0000FF" w:themeColor="hyperlink"/>
      <w:u w:val="single"/>
    </w:rPr>
  </w:style>
  <w:style w:type="character" w:customStyle="1" w:styleId="Heading1Char">
    <w:name w:val="Heading 1 Char"/>
    <w:basedOn w:val="DefaultParagraphFont"/>
    <w:link w:val="Heading1"/>
    <w:uiPriority w:val="9"/>
    <w:rsid w:val="00560DEB"/>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560DEB"/>
    <w:rPr>
      <w:rFonts w:ascii="Times New Roman" w:eastAsiaTheme="majorEastAsia" w:hAnsi="Times New Roman" w:cstheme="majorBidi"/>
      <w:bCs/>
      <w:i/>
      <w:sz w:val="24"/>
      <w:szCs w:val="26"/>
    </w:rPr>
  </w:style>
  <w:style w:type="paragraph" w:styleId="EndnoteText">
    <w:name w:val="endnote text"/>
    <w:basedOn w:val="Normal"/>
    <w:link w:val="EndnoteTextChar"/>
    <w:uiPriority w:val="99"/>
    <w:semiHidden/>
    <w:unhideWhenUsed/>
    <w:rsid w:val="00D948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4831"/>
    <w:rPr>
      <w:rFonts w:ascii="Times New Roman" w:hAnsi="Times New Roman"/>
      <w:sz w:val="20"/>
      <w:szCs w:val="20"/>
    </w:rPr>
  </w:style>
  <w:style w:type="character" w:styleId="EndnoteReference">
    <w:name w:val="endnote reference"/>
    <w:basedOn w:val="DefaultParagraphFont"/>
    <w:uiPriority w:val="99"/>
    <w:semiHidden/>
    <w:unhideWhenUsed/>
    <w:rsid w:val="00D94831"/>
    <w:rPr>
      <w:vertAlign w:val="superscript"/>
    </w:rPr>
  </w:style>
  <w:style w:type="paragraph" w:styleId="Bibliography">
    <w:name w:val="Bibliography"/>
    <w:basedOn w:val="Normal"/>
    <w:next w:val="Normal"/>
    <w:uiPriority w:val="37"/>
    <w:unhideWhenUsed/>
    <w:rsid w:val="00EE6BE6"/>
    <w:pPr>
      <w:spacing w:after="240" w:line="240" w:lineRule="auto"/>
    </w:pPr>
  </w:style>
  <w:style w:type="table" w:styleId="TableGrid">
    <w:name w:val="Table Grid"/>
    <w:basedOn w:val="TableNormal"/>
    <w:uiPriority w:val="59"/>
    <w:rsid w:val="004646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64694"/>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8A2E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EC4"/>
    <w:rPr>
      <w:rFonts w:ascii="Tahoma" w:hAnsi="Tahoma" w:cs="Tahoma"/>
      <w:sz w:val="16"/>
      <w:szCs w:val="16"/>
    </w:rPr>
  </w:style>
  <w:style w:type="character" w:styleId="PlaceholderText">
    <w:name w:val="Placeholder Text"/>
    <w:basedOn w:val="DefaultParagraphFont"/>
    <w:uiPriority w:val="99"/>
    <w:semiHidden/>
    <w:rsid w:val="00204960"/>
    <w:rPr>
      <w:color w:val="808080"/>
    </w:rPr>
  </w:style>
</w:styles>
</file>

<file path=word/webSettings.xml><?xml version="1.0" encoding="utf-8"?>
<w:webSettings xmlns:r="http://schemas.openxmlformats.org/officeDocument/2006/relationships" xmlns:w="http://schemas.openxmlformats.org/wordprocessingml/2006/main">
  <w:divs>
    <w:div w:id="1060438878">
      <w:bodyDiv w:val="1"/>
      <w:marLeft w:val="0"/>
      <w:marRight w:val="0"/>
      <w:marTop w:val="0"/>
      <w:marBottom w:val="0"/>
      <w:divBdr>
        <w:top w:val="none" w:sz="0" w:space="0" w:color="auto"/>
        <w:left w:val="none" w:sz="0" w:space="0" w:color="auto"/>
        <w:bottom w:val="none" w:sz="0" w:space="0" w:color="auto"/>
        <w:right w:val="none" w:sz="0" w:space="0" w:color="auto"/>
      </w:divBdr>
    </w:div>
    <w:div w:id="147537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ollister.jeff@ep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15694</TotalTime>
  <Pages>11</Pages>
  <Words>8355</Words>
  <Characters>47626</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US-EPA</Company>
  <LinksUpToDate>false</LinksUpToDate>
  <CharactersWithSpaces>55870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 Hollister</dc:creator>
  <cp:lastModifiedBy>Jeff Hollister</cp:lastModifiedBy>
  <cp:revision>20</cp:revision>
  <cp:lastPrinted>2013-08-16T18:02:00Z</cp:lastPrinted>
  <dcterms:created xsi:type="dcterms:W3CDTF">2013-06-24T15:17:00Z</dcterms:created>
  <dcterms:modified xsi:type="dcterms:W3CDTF">2013-08-16T19:49:00Z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zotero-version="4.0.11"&gt;&lt;session id="B3JJlx3z"/&gt;&lt;style id="http://www.zotero.org/styles/cell"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