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TA-011 · Revisión de consistencia de la interfaz</w:t>
      </w:r>
    </w:p>
    <w:p>
      <w:pPr>
        <w:spacing w:after="110"/>
      </w:pPr>
      <w:r>
        <w:rPr>
          <w:i/>
          <w:iCs/>
          <w:color w:val="555555"/>
          <w:sz w:val="21"/>
          <w:szCs w:val="21"/>
        </w:rPr>
        <w:t xml:space="preserve">Proyecto: Agentes inteligentes para el seguimiento y supervisión de proyectos de software en entornos académicos</w:t>
      </w:r>
    </w:p>
    <w:p>
      <w:pPr>
        <w:spacing w:after="110"/>
      </w:pPr>
      <w:r>
        <w:rPr>
          <w:i/>
          <w:iCs/>
          <w:color w:val="555555"/>
          <w:sz w:val="21"/>
          <w:szCs w:val="21"/>
        </w:rPr>
        <w:t xml:space="preserve">Equipo MONDRAGÓN · Estimación: 0,5 SP · 2 h · Fecha: 07/10/2026</w:t>
      </w:r>
    </w:p>
    <w:p>
      <w:pPr>
        <w:spacing w:after="110"/>
      </w:pPr>
      <w:r>
        <w:rPr>
          <w:sz w:val="21"/>
          <w:szCs w:val="21"/>
        </w:rPr>
        <w:t xml:space="preserve">Alcance: frontend/src/** y docs/Prototipo_Agentes_Seguimiento.html, contrastados con el sistema visual frontend/src/estilos/tokens.css (EN-UI-001).</w:t>
      </w:r>
    </w:p>
    <w:p>
      <w:pPr>
        <w:spacing w:after="110"/>
      </w:pPr>
      <w:r>
        <w:rPr>
          <w:sz w:val="21"/>
          <w:szCs w:val="21"/>
        </w:rPr>
        <w:t xml:space="preserve">La revisión no se basa en una apreciación personal: se apoya en una comprobación automática (scripts/auditar_ui.py) que cualquiera del equipo puede volver a ejecutar.</w:t>
      </w:r>
    </w:p>
    <w:p>
      <w:pPr>
        <w:pStyle w:val="Heading1"/>
        <w:spacing w:after="120" w:before="200"/>
      </w:pPr>
      <w:r>
        <w:t xml:space="preserve">1. Resultado de la comprobación automática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rPr>
          <w:tblHeader/>
        </w:trPr>
        <w:tc>
          <w:tcPr>
            <w:tcW w:type="dxa" w:w="350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08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Lectura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Archivos de interfaz revisados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Todo frontend/src más el prototipo HTML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Tokens declarados en tokens.css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50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Color, tipografía, espaciado, radios y sombras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Tokens efectivamente usados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5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Cobertura completa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Tokens declarados sin usar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0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 tokens muertos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Tokens usados sin declarar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Ninguno: no hay estilos que se pierdan en silencio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Colores escritos a mano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50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Todos en el prototipo HTML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font-size en px escritos a mano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5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Todos en el prototipo HTML</w:t>
            </w:r>
          </w:p>
        </w:tc>
      </w:tr>
    </w:tbl>
    <w:p>
      <w:pPr>
        <w:spacing w:after="110"/>
      </w:pPr>
      <w:r>
        <w:rPr>
          <w:color w:val="555555"/>
          <w:sz w:val="19"/>
          <w:szCs w:val="19"/>
        </w:rPr>
        <w:t xml:space="preserve">Salida completa en docs/sprint1/TA-011_auditoria.json.</w:t>
      </w:r>
    </w:p>
    <w:p>
      <w:pPr>
        <w:pStyle w:val="Heading1"/>
        <w:spacing w:after="120" w:before="200"/>
      </w:pPr>
      <w:r>
        <w:t xml:space="preserve">2. Hallazgos</w:t>
      </w:r>
    </w:p>
    <w:p>
      <w:pPr>
        <w:pStyle w:val="Heading2"/>
        <w:spacing w:after="90" w:before="180"/>
      </w:pPr>
      <w:r>
        <w:t xml:space="preserve">H-01 · El prototipo HTML no consume el sistema visual (severidad alta)</w:t>
      </w:r>
    </w:p>
    <w:p>
      <w:pPr>
        <w:spacing w:after="110"/>
      </w:pPr>
      <w:r>
        <w:rPr>
          <w:sz w:val="21"/>
          <w:szCs w:val="21"/>
        </w:rPr>
        <w:t xml:space="preserve">El archivo docs/Prototipo_Agentes_Seguimiento.html enlaza tokens.css, pero define su estilo con valores propios: 43 colores y 34 tamaños de fuente escritos directamente en el archivo. El 100 % de los valores sueltos detectados está ahí.</w:t>
      </w:r>
    </w:p>
    <w:p>
      <w:pPr>
        <w:spacing w:after="110"/>
      </w:pPr>
      <w:r>
        <w:rPr>
          <w:sz w:val="21"/>
          <w:szCs w:val="21"/>
        </w:rPr>
        <w:t xml:space="preserve">Esto contradice la regla declarada en el encabezado de tokens.css («no debe haber valores hardcodeados en la vista») y mantiene dos sistemas de estilo en paralelo: si se cambia un color del sistema visual, el prototipo no se entera.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2250"/>
        <w:gridCol w:w="2250"/>
      </w:tblGrid>
      <w:tr>
        <w:trPr>
          <w:tblHeader/>
        </w:trPr>
        <w:tc>
          <w:tcPr>
            <w:tcW w:type="dxa" w:w="558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25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Colores a mano</w:t>
            </w:r>
          </w:p>
        </w:tc>
        <w:tc>
          <w:tcPr>
            <w:tcW w:type="dxa" w:w="225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font-size a mano</w:t>
            </w:r>
          </w:p>
        </w:tc>
      </w:tr>
      <w:tr>
        <w:tc>
          <w:tcPr>
            <w:tcW w:type="dxa" w:w="55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docs/Prototipo_Agentes_Seguimiento.html</w:t>
            </w:r>
          </w:p>
        </w:tc>
        <w:tc>
          <w:tcPr>
            <w:tcW w:type="dxa" w:w="225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225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5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frontend/src/** (base React, TA-005)</w:t>
            </w:r>
          </w:p>
        </w:tc>
        <w:tc>
          <w:tcPr>
            <w:tcW w:type="dxa" w:w="225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10"/>
      </w:pPr>
      <w:r>
        <w:rPr>
          <w:b/>
          <w:bCs/>
          <w:sz w:val="21"/>
          <w:szCs w:val="21"/>
        </w:rPr>
        <w:t xml:space="preserve">Corrección aplicada: la base React se construyó consumiendo únicamente tokens, de modo que la interfaz que se seguirá desarrollando nace consistente.</w:t>
      </w:r>
    </w:p>
    <w:p>
      <w:pPr>
        <w:spacing w:after="110"/>
      </w:pPr>
      <w:r>
        <w:rPr>
          <w:sz w:val="21"/>
          <w:szCs w:val="21"/>
        </w:rPr>
        <w:t xml:space="preserve">Pendiente de decisión del equipo. Hay dos caminos razonables y conviene elegir uno de forma explícita: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Declararlo histórico. Es la maqueta que sirvió para validar el alcance y ya cumplió su función. Se deja como está, con una nota inicial que indique que la interfaz vigente es la de frontend/. Coste: 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Refactorizarlo para que use los tokens. Solo tiene sentido si se va a seguir presentando el HTML en lugar del frontend React. Coste estimado: 2 h.</w:t>
      </w:r>
    </w:p>
    <w:p>
      <w:pPr>
        <w:spacing w:after="110"/>
      </w:pPr>
      <w:r>
        <w:rPr>
          <w:sz w:val="21"/>
          <w:szCs w:val="21"/>
        </w:rPr>
        <w:t xml:space="preserve">Recomendación: la primera opción. Mantener dos interfaces al día duplica el trabajo sin aportar nada, ahora que la base React funciona.</w:t>
      </w:r>
    </w:p>
    <w:p>
      <w:pPr>
        <w:pStyle w:val="Heading2"/>
        <w:spacing w:after="90" w:before="180"/>
      </w:pPr>
      <w:r>
        <w:t xml:space="preserve">H-02 · Cobertura de tokens correcta (sin acción)</w:t>
      </w:r>
    </w:p>
    <w:p>
      <w:pPr>
        <w:spacing w:after="110"/>
      </w:pPr>
      <w:r>
        <w:rPr>
          <w:sz w:val="21"/>
          <w:szCs w:val="21"/>
        </w:rPr>
        <w:t xml:space="preserve">No hay tokens muertos ni tokens usados sin declarar. Esto importa porque un token usado sin declarar no falla de forma visible: el navegador simplemente no aplica el estilo y el defecto pasa desapercibido en una revisión a ojo. La comprobación queda automatizada para que no se cuele más adelante.</w:t>
      </w:r>
    </w:p>
    <w:p>
      <w:pPr>
        <w:pStyle w:val="Heading2"/>
        <w:spacing w:after="90" w:before="180"/>
      </w:pPr>
      <w:r>
        <w:t xml:space="preserve">H-03 · Criterios unificados en la base React (aplicados)</w:t>
      </w:r>
    </w:p>
    <w:p>
      <w:pPr>
        <w:spacing w:after="110"/>
      </w:pPr>
      <w:r>
        <w:rPr>
          <w:sz w:val="21"/>
          <w:szCs w:val="21"/>
        </w:rPr>
        <w:t xml:space="preserve">Durante TA-005 se resolvieron decisiones que en el prototipo estaban dispersas: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 (prototipo)</w:t>
            </w:r>
          </w:p>
        </w:tc>
        <w:tc>
          <w:tcPr>
            <w:tcW w:type="dxa" w:w="408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Ahora (base React)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Título de tarjeta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h3 con --fs-lg</w:t>
            </w:r>
          </w:p>
        </w:tc>
        <w:tc>
          <w:tcPr>
            <w:tcW w:type="dxa" w:w="4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h3 con --fs-h3, el token creado para eso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Indicador de atención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texto en --ink</w:t>
            </w:r>
          </w:p>
        </w:tc>
        <w:tc>
          <w:tcPr>
            <w:tcW w:type="dxa" w:w="40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texto en --warn, igual que ok y bad usan el suyo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Fondo de aviso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--soft directo</w:t>
            </w:r>
          </w:p>
        </w:tc>
        <w:tc>
          <w:tcPr>
            <w:tcW w:type="dxa" w:w="4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--infobg, el token semántico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Espaciado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píxeles sueltos</w:t>
            </w:r>
          </w:p>
        </w:tc>
        <w:tc>
          <w:tcPr>
            <w:tcW w:type="dxa" w:w="40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escala --sp-1 a --sp-6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Radio de avisos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 radio</w:t>
            </w:r>
          </w:p>
        </w:tc>
        <w:tc>
          <w:tcPr>
            <w:tcW w:type="dxa" w:w="40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--r-md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Foco de teclado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outline-offset sin contorno visible</w:t>
            </w:r>
          </w:p>
        </w:tc>
        <w:tc>
          <w:tcPr>
            <w:tcW w:type="dxa" w:w="40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:focus-visible con contorno explícito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3. Evidencia visual</w:t>
      </w:r>
    </w:p>
    <w:p>
      <w:pPr>
        <w:spacing w:after="110"/>
      </w:pPr>
      <w:r>
        <w:rPr>
          <w:sz w:val="21"/>
          <w:szCs w:val="21"/>
        </w:rPr>
        <w:t xml:space="preserve">Capturas de la base React en ejecución (npm run preview, viewport 1366 px). Cada una se incluye por lo que demuestra sobre la consistencia, no solo como ilustración.</w:t>
      </w:r>
    </w:p>
    <w:p>
      <w:pPr>
        <w:pStyle w:val="Heading2"/>
        <w:spacing w:after="90" w:before="180"/>
      </w:pPr>
      <w:r>
        <w:t xml:space="preserve">Figura 1 · Pantalla de inicio de sesión (HU-001)</w:t>
      </w:r>
    </w:p>
    <w:p>
      <w:pPr>
        <w:spacing w:after="110"/>
      </w:pPr>
      <w:r>
        <w:rPr>
          <w:sz w:val="21"/>
          <w:szCs w:val="21"/>
        </w:rPr>
        <w:t xml:space="preserve">Primera pantalla del recorrido. Evidencia el uso de los tokens de marca (--brand en el título, --brand2 en el botón de acción) y del componente Campo con su etiqueta asociada. La franja superior amarilla usa --warnbg y deja claro que se trata de un prototipo con datos simulados.</w:t>
      </w:r>
    </w:p>
    <w:p>
      <w:pPr>
        <w:spacing w:after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1. Pantalla de inicio de sesión (HU-001) — docs/sprint1/evidencias/frontend/01_login.png</w:t>
      </w:r>
    </w:p>
    <w:p>
      <w:pPr>
        <w:pStyle w:val="Heading2"/>
        <w:spacing w:after="90" w:before="180"/>
      </w:pPr>
      <w:r>
        <w:t xml:space="preserve">Figura 2 · Listado de proyectos (HU-002)</w:t>
      </w:r>
    </w:p>
    <w:p>
      <w:pPr>
        <w:spacing w:after="110"/>
      </w:pPr>
      <w:r>
        <w:rPr>
          <w:sz w:val="21"/>
          <w:szCs w:val="21"/>
        </w:rPr>
        <w:t xml:space="preserve">Muestra los componentes Tarjeta, Pill y Botón repetidos de forma uniforme. Los indicadores «Activo» usan el tono ok (--okbg / --ok) y los de fuente (GitHub, Notion, Google Drive) el tono neutro, siguiendo la misma regla de color en todas las tarjetas.</w:t>
      </w:r>
    </w:p>
    <w:p>
      <w:pPr>
        <w:spacing w:after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2. Listado de proyectos (HU-002) — docs/sprint1/evidencias/frontend/02_proyectos.png</w:t>
      </w:r>
    </w:p>
    <w:p>
      <w:pPr>
        <w:pStyle w:val="Heading2"/>
        <w:spacing w:after="90" w:before="180"/>
      </w:pPr>
      <w:r>
        <w:t xml:space="preserve">Figura 3 · Detalle del proyecto con pestañas (HU-003 / HU-004)</w:t>
      </w:r>
    </w:p>
    <w:p>
      <w:pPr>
        <w:spacing w:after="110"/>
      </w:pPr>
      <w:r>
        <w:rPr>
          <w:sz w:val="21"/>
          <w:szCs w:val="21"/>
        </w:rPr>
        <w:t xml:space="preserve">Evidencia el componente Tabs con estado accesible (aria-selected) y la Tabla reutilizada para commits, tareas y documentos. Las pestañas comparten el mismo tratamiento visual: borde inferior --brand2 y texto --brand en la activa.</w:t>
      </w:r>
    </w:p>
    <w:p>
      <w:pPr>
        <w:spacing w:after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3. Detalle del proyecto con pestañas (HU-003 / HU-004) — docs/sprint1/evidencias/frontend/03_detalle.png</w:t>
      </w:r>
    </w:p>
    <w:p>
      <w:pPr>
        <w:pStyle w:val="Heading2"/>
        <w:spacing w:after="90" w:before="180"/>
      </w:pPr>
      <w:r>
        <w:t xml:space="preserve">Figura 4 · Dashboard docente (TA-002 / TA-016)</w:t>
      </w:r>
    </w:p>
    <w:p>
      <w:pPr>
        <w:spacing w:after="110"/>
      </w:pPr>
      <w:r>
        <w:rPr>
          <w:sz w:val="21"/>
          <w:szCs w:val="21"/>
        </w:rPr>
        <w:t xml:space="preserve">Reúne la mayor cantidad de componentes: cuatro Estadística con la Barra de progreso, los Pill de estado de las tres fuentes y el Aviso informativo. Es la pantalla que mejor demuestra que la escala de espaciado (--sp-1 a --sp-6) se aplica de forma pareja.</w:t>
      </w:r>
    </w:p>
    <w:p>
      <w:pPr>
        <w:spacing w:after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4. Dashboard docente (TA-002 / TA-016) — docs/sprint1/evidencias/frontend/04_dashboard.png</w:t>
      </w:r>
    </w:p>
    <w:p>
      <w:pPr>
        <w:pStyle w:val="Heading2"/>
        <w:spacing w:after="90" w:before="180"/>
      </w:pPr>
      <w:r>
        <w:t xml:space="preserve">Figura 5 · Muestrario del sistema visual (EN-UI-001)</w:t>
      </w:r>
    </w:p>
    <w:p>
      <w:pPr>
        <w:spacing w:after="110"/>
      </w:pPr>
      <w:r>
        <w:rPr>
          <w:sz w:val="21"/>
          <w:szCs w:val="21"/>
        </w:rPr>
        <w:t xml:space="preserve">Pantalla de referencia del equipo: los cinco colores semánticos, la escala tipográfica completa con el nombre de cada token y los componentes base en sus variantes. Sirve para comprobar de un vistazo que lo documentado y lo implementado coinciden.</w:t>
      </w:r>
    </w:p>
    <w:p>
      <w:pPr>
        <w:spacing w:after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5. Muestrario del sistema visual (EN-UI-001) — docs/sprint1/evidencias/frontend/05_sistema.png</w:t>
      </w:r>
    </w:p>
    <w:p>
      <w:r>
        <w:br w:type="page"/>
      </w:r>
    </w:p>
    <w:p>
      <w:pPr>
        <w:pStyle w:val="Heading1"/>
        <w:spacing w:after="120" w:before="200"/>
      </w:pPr>
      <w:r>
        <w:t xml:space="preserve">4. Alcance y límites de esta revisión</w:t>
      </w:r>
    </w:p>
    <w:p>
      <w:pPr>
        <w:spacing w:after="110"/>
      </w:pPr>
      <w:r>
        <w:rPr>
          <w:sz w:val="21"/>
          <w:szCs w:val="21"/>
        </w:rPr>
        <w:t xml:space="preserve">La comprobación automática detecta valores escritos a mano y tokens descuadrados. No sustituye una revisión visual: no juzga si un contraste es suficiente, si la jerarquía tipográfica se entiende o si un flujo resulta claro. Para eso hace falta mirar las pantallas, idealmente con alguien que no las haya construido.</w:t>
      </w:r>
    </w:p>
    <w:p>
      <w:pPr>
        <w:spacing w:after="110"/>
      </w:pPr>
      <w:r>
        <w:rPr>
          <w:sz w:val="21"/>
          <w:szCs w:val="21"/>
        </w:rPr>
        <w:t xml:space="preserve">Dos puntos quedan fuera de esta revisión y conviene atenderlos: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Contraste. No se midió el ratio contra WCAG AA. El indicador de atención (--warn #e0a100 sobre --warnbg #fff6da) es el candidato más probable a quedarse corto y debería medirse.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Comportamiento en móvil. Hay puntos de corte definidos en base.css, pero no se probaron en un dispositivo real.</w:t>
      </w:r>
    </w:p>
    <w:p>
      <w:pPr>
        <w:pStyle w:val="Heading1"/>
        <w:spacing w:after="120" w:before="200"/>
      </w:pPr>
      <w:r>
        <w:t xml:space="preserve">5. Cómo repetir la revisión</w:t>
      </w:r>
    </w:p>
    <w:p>
      <w:pPr>
        <w:spacing w:after="110"/>
      </w:pPr>
      <w:r>
        <w:rPr>
          <w:sz w:val="21"/>
          <w:szCs w:val="21"/>
        </w:rPr>
        <w:t xml:space="preserve">Desde la raíz del repositorio:</w:t>
      </w:r>
    </w:p>
    <w:p>
      <w:pPr>
        <w:shd w:fill="0F1726" w:color="auto" w:val="clear"/>
        <w:spacing w:after="140" w:before="60"/>
      </w:pPr>
      <w:r>
        <w:rPr>
          <w:rFonts w:ascii="Consolas" w:cs="Consolas" w:eastAsia="Consolas" w:hAnsi="Consolas"/>
          <w:color w:val="C8D6EE"/>
          <w:sz w:val="19"/>
          <w:szCs w:val="19"/>
        </w:rPr>
        <w:t xml:space="preserve">python scripts/auditar_ui.py</w:t>
      </w:r>
    </w:p>
    <w:p>
      <w:pPr>
        <w:spacing w:after="110"/>
      </w:pPr>
      <w:r>
        <w:rPr>
          <w:sz w:val="21"/>
          <w:szCs w:val="21"/>
        </w:rPr>
        <w:t xml:space="preserve">El script devuelve código de salida 1 si encuentra un token usado sin declarar, de modo que puede conectarse al workflow de CI (TA-035) para que el problema se detecte en cada pull request en lugar de en una revisión manual.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7719223487b08e3915afd6a5c630fec76e0f11.png"/><Relationship Id="rId8" Type="http://schemas.openxmlformats.org/officeDocument/2006/relationships/image" Target="media/042843350e209e19a1a672f4e04481ffbf5a9234.png"/><Relationship Id="rId9" Type="http://schemas.openxmlformats.org/officeDocument/2006/relationships/image" Target="media/527dc694a9ae492b50e015482f62910e214b78d8.png"/><Relationship Id="rId10" Type="http://schemas.openxmlformats.org/officeDocument/2006/relationships/image" Target="media/7f8552380060f820d749d21c9ac8e8c371049beb.png"/><Relationship Id="rId11" Type="http://schemas.openxmlformats.org/officeDocument/2006/relationships/image" Target="media/f243f29c9b0a9aa808d81aa4ba23a8306e53c6f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2026-10-07T05:06:09.160Z</dcterms:created>
  <dcterms:modified xsi:type="dcterms:W3CDTF">2026-10-07T05:06:09.161Z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