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Enlace de clase virtual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https://meet.google.com/dkn-vuof-tfy?authuser=0&amp;hl=es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02/05/2025     Fecha de término: 30/04/2025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30/04/2025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 evidenciando dominio sólido de los 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05/05/2025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07/05/2025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09/05/2025     Fecha de término: 12/05/2025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 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14/05/2025     Fecha de término: 21/05/2025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 define actividades, responsables, recursos y cronograma, y proyecta mejoras relevantes en el desempeño de los activos, mostrando 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21/05/2025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23/05/2025     Fecha de término: 26/05/2025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23/05/2025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 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&amp; Perez, S. (2025). La computación. Editorial Alfa.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(2025). La oración. Joumal, 15(3), 25-40.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(2025, 15 febrero). Myte Towers. Youtube. https://www.youtube.com/watch?v=t0eYo-pKdFI&amp;list=RDMM_GbqRYG7GNY&amp;index=8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M.FAP.03.01/R9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