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120"/>
        <w:ind w:left="0" w:right="0"/>
        <w:jc w:val="center"/>
      </w:pPr>
      <w:r>
        <w:br/>
      </w:r>
      <w:r>
        <w:rPr>
          <w:rFonts w:ascii="Times New Roman" w:hAnsi="Times New Roman"/>
          <w:b/>
          <w:sz w:val="32"/>
        </w:rPr>
        <w:t>SILABO</w:t>
      </w:r>
    </w:p>
    <w:p>
      <w:pPr>
        <w:pStyle w:val="Heading1"/>
        <w:spacing w:before="0" w:after="12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I. DATOS GENERALES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2880"/>
        <w:gridCol w:w="2880"/>
        <w:gridCol w:w="2880"/>
      </w:tblGrid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1.1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Asignatura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 xml:space="preserve">Mantenimiento Productivo Total 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1.2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Código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GM309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1.3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Carácter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Obligatorio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1.4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Requisito (nombre y código)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Ninguno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1.5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Ciclo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I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1.6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Semestre académico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A</w:t>
            </w:r>
          </w:p>
        </w:tc>
      </w:tr>
      <w:tr>
        <w:tc>
          <w:tcPr>
            <w:tcW w:type="dxa" w:w="720"/>
            <w:vMerge w:val="restart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1.7</w:t>
            </w:r>
          </w:p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Número de horas de clase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16 horas semanales.</w:t>
            </w:r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Horas de teoría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16 horas semanales.</w:t>
            </w:r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Horas de práctica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0 horas semanales.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1.8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Número de créditos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4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1.9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Duración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12 sesiones 4 semanas</w:t>
            </w:r>
          </w:p>
        </w:tc>
      </w:tr>
      <w:tr>
        <w:tc>
          <w:tcPr>
            <w:tcW w:type="dxa" w:w="720"/>
            <w:vMerge w:val="restart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1.10</w:t>
            </w:r>
          </w:p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Docente(s)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Dr. Ing. Robert William Castillo Alva</w:t>
            </w:r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Correo electrónico institucional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rcastilloa@unacvirtual.edu.pe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1.11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Modalidad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Virtual</w:t>
            </w:r>
          </w:p>
        </w:tc>
      </w:tr>
    </w:tbl>
    <w:p>
      <w:pPr>
        <w:pStyle w:val="Heading1"/>
        <w:spacing w:before="24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II. SUMILLA</w:t>
      </w:r>
    </w:p>
    <w:p>
      <w:pPr>
        <w:spacing w:before="120" w:after="0"/>
        <w:ind w:firstLine="0"/>
        <w:jc w:val="both"/>
      </w:pPr>
      <w:r>
        <w:rPr>
          <w:rFonts w:ascii="Times New Roman" w:hAnsi="Times New Roman"/>
          <w:color w:val="000000"/>
          <w:sz w:val="24"/>
        </w:rPr>
        <w:t xml:space="preserve">La asignatura de Mantenimiento Productivo Total  pertenece al módulo curricular de estudios de especialidad, es de naturaleza teórico-práctico y de de carácter obligatorio, tiene por propósito Su desarrollo metodológico integra coloquios, talleres, análisis de casos prácticos  y  un proyecto integrador, mediante los cuales los estudiantes analizan organizaciones utilizando los fundamentos del TPM, articulan propuestas de valor alineadas con estrategias corporativas, diseñan y planifican el despliegue de un Plan Maestro de TPM. El curso tiene como propósito desarrollar en los estudiantes las competencias necesarias para diseñar, planificar y validar estrategias integrales de mantenimiento productivo total, preparándolos para liderar con éxito su implementación en contextos organizacionales.  </w:t>
      </w:r>
    </w:p>
    <w:p>
      <w:pPr>
        <w:spacing w:before="0" w:after="0"/>
        <w:ind w:firstLine="0"/>
        <w:jc w:val="left"/>
      </w:pPr>
      <w:r>
        <w:rPr>
          <w:rFonts w:ascii="Times New Roman" w:hAnsi="Times New Roman"/>
          <w:color w:val="000000"/>
          <w:sz w:val="24"/>
        </w:rPr>
        <w:t>La asignatura se organiza en cuatro unidades de aprendizaje:</w:t>
      </w:r>
    </w:p>
    <w:p>
      <w:pPr>
        <w:jc w:val="left"/>
      </w:pPr>
      <w:r>
        <w:rPr>
          <w:rFonts w:ascii="Times New Roman" w:hAnsi="Times New Roman"/>
          <w:b/>
          <w:color w:val="000000"/>
          <w:sz w:val="24"/>
        </w:rPr>
        <w:t xml:space="preserve">Unidad I: </w:t>
      </w:r>
      <w:r>
        <w:rPr>
          <w:rFonts w:ascii="Times New Roman" w:hAnsi="Times New Roman"/>
          <w:color w:val="000000"/>
          <w:sz w:val="24"/>
        </w:rPr>
        <w:t>FRAMEWORK TPM SEGÚN JIMP"</w:t>
        <w:br/>
      </w:r>
      <w:r>
        <w:rPr>
          <w:rFonts w:ascii="Times New Roman" w:hAnsi="Times New Roman"/>
          <w:b/>
          <w:color w:val="000000"/>
          <w:sz w:val="24"/>
        </w:rPr>
        <w:t xml:space="preserve">Unidad II: </w:t>
      </w:r>
      <w:r>
        <w:rPr>
          <w:rFonts w:ascii="Times New Roman" w:hAnsi="Times New Roman"/>
          <w:color w:val="000000"/>
          <w:sz w:val="24"/>
        </w:rPr>
        <w:t>Propuesta de Valor del TPM a la Organización</w:t>
        <w:br/>
      </w:r>
      <w:r>
        <w:rPr>
          <w:rFonts w:ascii="Times New Roman" w:hAnsi="Times New Roman"/>
          <w:b/>
          <w:color w:val="000000"/>
          <w:sz w:val="24"/>
        </w:rPr>
        <w:t xml:space="preserve">Unidad III: </w:t>
      </w:r>
      <w:r>
        <w:rPr>
          <w:rFonts w:ascii="Times New Roman" w:hAnsi="Times New Roman"/>
          <w:color w:val="000000"/>
          <w:sz w:val="24"/>
        </w:rPr>
        <w:t>Diseño del Plan Maestro de TPM</w:t>
        <w:br/>
      </w:r>
      <w:r>
        <w:rPr>
          <w:rFonts w:ascii="Times New Roman" w:hAnsi="Times New Roman"/>
          <w:b/>
          <w:color w:val="000000"/>
          <w:sz w:val="24"/>
        </w:rPr>
        <w:t xml:space="preserve">Unidad IV: </w:t>
      </w:r>
      <w:r>
        <w:rPr>
          <w:rFonts w:ascii="Times New Roman" w:hAnsi="Times New Roman"/>
          <w:color w:val="000000"/>
          <w:sz w:val="24"/>
        </w:rPr>
        <w:t>Verificación y Validación del Plan Estratégico de TPM</w:t>
        <w:br/>
      </w:r>
    </w:p>
    <w:p>
      <w:pPr>
        <w:pStyle w:val="Heading1"/>
        <w:spacing w:before="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III. COMPETENCIA(S) DEL PERFIL DE EGRESO Y RESULTADO DE APRENDIZAJE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RESULTADO DE APRENDIZAJE CAPACIDAD (ES)</w:t>
      </w:r>
    </w:p>
    <w:p>
      <w:pPr>
        <w:pStyle w:val="Heading2"/>
        <w:spacing w:before="240" w:after="0"/>
        <w:ind w:left="144" w:right="0"/>
        <w:jc w:val="left"/>
      </w:pPr>
      <w:r>
        <w:rPr>
          <w:rFonts w:ascii="Times New Roman" w:hAnsi="Times New Roman"/>
          <w:b/>
          <w:color w:val="000000"/>
          <w:sz w:val="24"/>
        </w:rPr>
        <w:t>3.1</w:t>
        <w:tab/>
        <w:t>Resultado de aprendizaje general (Competencias generales)</w:t>
      </w:r>
    </w:p>
    <w:p>
      <w:pPr>
        <w:spacing w:before="0" w:after="0"/>
        <w:ind w:left="720" w:right="0"/>
        <w:jc w:val="left"/>
      </w:pPr>
      <w:r>
        <w:rPr>
          <w:rFonts w:ascii="Times New Roman" w:hAnsi="Times New Roman"/>
          <w:b/>
          <w:color w:val="000000"/>
          <w:sz w:val="24"/>
        </w:rPr>
        <w:t>RAG1 (CG1). Trabajo en equipo.</w:t>
      </w:r>
    </w:p>
    <w:p>
      <w:pPr>
        <w:spacing w:before="60" w:after="240"/>
        <w:ind w:left="864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Aplica los conceptos básicos de planificación, organización, dirección y control estratégico en la industria, empresas y organizaciones en general, generando su desarrollo y rentabilidad. Participa en equipo con diversas funciones, inter y multidisciplinarias, para el logro de metas, bajo presión, respetando la diversidad de opiniones con actitud ética y colaborativa.</w:t>
      </w:r>
    </w:p>
    <w:p>
      <w:pPr>
        <w:pStyle w:val="Heading2"/>
        <w:spacing w:before="240" w:after="0"/>
        <w:ind w:left="144" w:right="0"/>
        <w:jc w:val="left"/>
      </w:pPr>
      <w:r>
        <w:rPr>
          <w:rFonts w:ascii="Times New Roman" w:hAnsi="Times New Roman"/>
          <w:b/>
          <w:color w:val="000000"/>
          <w:sz w:val="24"/>
        </w:rPr>
        <w:t>3.2</w:t>
        <w:tab/>
        <w:t>Resultado de aprendizaje específico (Competencias específicas)</w:t>
      </w:r>
    </w:p>
    <w:p>
      <w:pPr>
        <w:spacing w:before="120" w:after="0"/>
        <w:ind w:left="737"/>
        <w:jc w:val="left"/>
      </w:pPr>
      <w:r>
        <w:rPr>
          <w:rFonts w:ascii="Times New Roman" w:hAnsi="Times New Roman"/>
          <w:b/>
          <w:sz w:val="24"/>
        </w:rPr>
        <w:t>RAE1 (CE1) Fundamentos del TPM según JIMP [Sesión 1, 2, 3 y 4]: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Comprende y aplica los conceptos fundamentales del TPM según la metodología JIMP, incluyendo las 4 fases, la metodología de 12 pasos y los 8 pilares, para identificar, describir y analizar los componentes esenciales de una organización (estructura organizativa, procesos y activos) en el contexto deun sistemade gestión de mantenimiento basado en TPM, alineado con normativas como ISO 9001:2015, ISO 55000:2024 e ISO 55001:2024</w:t>
      </w:r>
    </w:p>
    <w:p>
      <w:pPr>
        <w:spacing w:before="120" w:after="0"/>
        <w:ind w:left="737"/>
        <w:jc w:val="left"/>
      </w:pPr>
      <w:r>
        <w:rPr>
          <w:rFonts w:ascii="Times New Roman" w:hAnsi="Times New Roman"/>
          <w:b/>
          <w:sz w:val="24"/>
        </w:rPr>
        <w:t>RAE2 (CE2) Propuesta de Valor del TPM a la Organización [Sesión  5 y 6] ":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"Desarrolla una propuesta de valor del TPM para una organización, alineada con los objetivos y estrategia de la organización; incluyendo la identificación de mudas, la definición del alcance del TPM, y utilizando herramientas de gestión como el mapa estratégico, la matriz RACI y el BSC."</w:t>
      </w:r>
    </w:p>
    <w:p>
      <w:pPr>
        <w:spacing w:before="120" w:after="0"/>
        <w:ind w:left="737"/>
        <w:jc w:val="left"/>
      </w:pPr>
      <w:r>
        <w:rPr>
          <w:rFonts w:ascii="Times New Roman" w:hAnsi="Times New Roman"/>
          <w:b/>
          <w:sz w:val="24"/>
        </w:rPr>
        <w:t>RAE3 (CE3) Diseño del Plan Maestro de TPM [Sesión 7, 8, 9 y 10]: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Desarrolla un Plan Maestro de TPM que integre los 8 pilares, detallando procesos, actividades, responsables y documentación, y que esté alineado con la metodología de los 12 pasos de JIMP."</w:t>
      </w:r>
    </w:p>
    <w:p>
      <w:pPr>
        <w:spacing w:before="120" w:after="0"/>
        <w:ind w:left="737"/>
        <w:jc w:val="left"/>
      </w:pPr>
      <w:r>
        <w:rPr>
          <w:rFonts w:ascii="Times New Roman" w:hAnsi="Times New Roman"/>
          <w:b/>
          <w:sz w:val="24"/>
        </w:rPr>
        <w:t>RAE4 (CE4) Verificación y Validación del Plan Estratégico de TPM [Sesión 11 y 12]: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Evalúa y valida el plan estratégico de TPM utilizando matrices de verificación y validación, asegurando alineación con objetivos organizacionales, cumplimiento de normativas (ISO 55001:2024) y coherencia de los 8 pilares con evidencias documentadas.</w:t>
      </w:r>
    </w:p>
    <w:p>
      <w:pPr>
        <w:pStyle w:val="Heading2"/>
        <w:spacing w:before="240" w:after="0"/>
        <w:ind w:left="144" w:right="0"/>
        <w:jc w:val="left"/>
      </w:pPr>
      <w:r>
        <w:rPr>
          <w:rFonts w:ascii="Times New Roman" w:hAnsi="Times New Roman"/>
          <w:b/>
          <w:color w:val="000000"/>
          <w:sz w:val="24"/>
        </w:rPr>
        <w:t>3.3</w:t>
        <w:tab/>
        <w:t>Producto(s) o actividad(es) de aprendizaje evaluados</w:t>
      </w:r>
    </w:p>
    <w:p>
      <w:pPr>
        <w:spacing w:before="120" w:after="0"/>
        <w:ind w:left="737" w:right="0"/>
        <w:jc w:val="left"/>
      </w:pPr>
      <w:r>
        <w:rPr>
          <w:rFonts w:ascii="Times New Roman" w:hAnsi="Times New Roman"/>
          <w:b/>
          <w:color w:val="000000"/>
          <w:sz w:val="24"/>
        </w:rPr>
        <w:t>PA1 (C1) Análisis Organizacional para TPM según JIMP: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Analiza un caso práctico de una organización industrial para identificar, describir y evaluar sus componentes esenciales (estructura organizativa, procesos clave y portafolio de activos críticos) en relación con la metodología JIMP (4 fases, 12 pasos y 8 pilares) y las normativas ISO 55000:2024 e ISO 55001:2024, con el fin de diseñar un plan preliminar para la implementación de un sistema</w:t>
      </w:r>
    </w:p>
    <w:p>
      <w:pPr>
        <w:spacing w:before="120" w:after="0"/>
        <w:ind w:left="737" w:right="0"/>
        <w:jc w:val="left"/>
      </w:pPr>
      <w:r>
        <w:rPr>
          <w:rFonts w:ascii="Times New Roman" w:hAnsi="Times New Roman"/>
          <w:b/>
          <w:color w:val="000000"/>
          <w:sz w:val="24"/>
        </w:rPr>
        <w:t>PA2 (C2) Informe Estratégico de Alineación del TPM: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"Elabora un plan maestro detallado que incluya los 8 pilares del TPM, especificando para cada pilar los procesos, actividades, responsables y documentación requerida, siguiendo la metodología de los 12 pasos de JIMP."</w:t>
      </w:r>
    </w:p>
    <w:p>
      <w:pPr>
        <w:spacing w:before="120" w:after="0"/>
        <w:ind w:left="737" w:right="0"/>
        <w:jc w:val="left"/>
      </w:pPr>
      <w:r>
        <w:rPr>
          <w:rFonts w:ascii="Times New Roman" w:hAnsi="Times New Roman"/>
          <w:b/>
          <w:color w:val="000000"/>
          <w:sz w:val="24"/>
        </w:rPr>
        <w:t>PA3 (C3) Desarrollo del Plan Maestro de TPM: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Evalúa críticamente un plan estratégico de TPM utilizando matrices de verificación y validación, aplicando criterios como alineación con objetivos organizacionales, cumplimiento normativo (ISO 55001:2024), coherencia interna y viabilidad técnica, para asegurar su efectividad y completitud.</w:t>
      </w:r>
    </w:p>
    <w:p>
      <w:pPr>
        <w:spacing w:before="120" w:after="0"/>
        <w:ind w:left="737" w:right="0"/>
        <w:jc w:val="left"/>
      </w:pPr>
      <w:r>
        <w:rPr>
          <w:rFonts w:ascii="Times New Roman" w:hAnsi="Times New Roman"/>
          <w:b/>
          <w:color w:val="000000"/>
          <w:sz w:val="24"/>
        </w:rPr>
        <w:t>PA4 (C4) Presentación Final del Plan de TPM: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Presentar y defender un plan estratégico de TPM revisado, que incorpore mejoras basadas en la retroalimentación del docente y las mejores prácticas discutidas, demostrando cómo cumple con los criterios de verificación y validación y se alinea con los objetivos organizacionales.</w:t>
      </w:r>
    </w:p>
    <w:p>
      <w:pPr>
        <w:pStyle w:val="Heading1"/>
        <w:spacing w:before="12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IV. METODOLOGÍA</w:t>
      </w:r>
    </w:p>
    <w:p>
      <w:pPr>
        <w:spacing w:before="120" w:after="12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Universidad Nacional del Callao, Licenciada por la SUNEDU tiene como fin supremo la formación integral del estudiante, quien es el eje central del proceso educativo de formación profesional; es así como el Modelo Educativo de la UNAC implementa las teorías educativas constructivista y conectivista, y las articula con los componentes transversales del proceso de enseñanza – aprendizaje, orientando las competencias genéricas y específicas. Este modelo tiene como propósito fundamental la formación holística de los estudiantes y concibe el proceso educativo en la acción y para la acción. Además, promueve el aprendizaje significativo en el marco de la construcción o reconstrucción cooperativa del conocimiento y toma en cuenta los saberes previos de los participantes con la finalidad que los estudiantes fortalezcan sus conocimientos y formas de aprendizaje y prosperen en la era digital, en un entorno cambiante de permanente innovación, acorde con las nuevas herramientas y tecnologías de información y comunicación.</w:t>
      </w:r>
    </w:p>
    <w:p>
      <w:pPr>
        <w:spacing w:before="0" w:after="12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Facultad de Ingeniería Mecánica y de Energía de la UNAC, en cumplimiento con lo dispuesto en la Resolución Viceministerial Nº085-2020-MINEDU del 01 de abril de 2020, de manera excepcional y mientras duren las medidas adoptadas por el Gobierno con relación al estado de emergencia sanitario, se impartirá educación remota no presencial haciendo uso de una plataforma virtual educativa: espacio en donde se imparte el servicio educativo de los cursos, basados en tecnologías de la información y comunicación (TICs).</w:t>
      </w:r>
    </w:p>
    <w:p>
      <w:pPr>
        <w:spacing w:before="0" w:after="12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plataforma de la UNAC es el Sistema de Gestión Académico (SGA-UNAC) basado en Moodle, en donde los estudiantes, tendrán a su disposición información detallada del curso: el sílabo, la matriz formativa, ruta del aprendizaje, guía de entregables calificados, y los contenidos de la clase estructurados para cada sesión educativa. El SGA será complementado con las diferentes soluciones que brinda Google Suite for Education y otras herramientas tecnológicas multiplataforma.</w:t>
      </w:r>
    </w:p>
    <w:p>
      <w:pPr>
        <w:spacing w:before="0" w:after="12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Las estrategias metodológicas didáctica para el desarrollo de las sesiones teóricas permiten dos modalidades de aprendizaje en los estudiantes:</w:t>
      </w:r>
    </w:p>
    <w:p>
      <w:pPr>
        <w:pStyle w:val="Heading2"/>
        <w:spacing w:before="12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4.1 Herramientas metodológicas de comunicación síncrona (videoconferencia)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modalidad síncrona es una forma de aprendizaje basado en el uso de herramientas que permiten la comunicación no presencial y en tiempo real entre el docente y los estudiantes.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Dentro de la modalidad síncrona, se hará uso de: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Clases dinámicas e interactivas (virtuales): el docente genera permanentemente expectativa por el tema a través de actividades que permiten vincular los saberes previos con el nuevo conocimiento, promoviendo la interacción mediante el diálogo y debate sobre los contenidos.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Talleres de aplicación (virtuales): el docente genera situaciones de aprendizaje para la transferencia de los aprendizajes a contextos reales o cercanos a los participantes que serán retroalimentados en clase.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Tutorías (virtuales): Para facilitar la demostración, presentación y corrección de los avances del informe final de investigación.</w:t>
      </w:r>
    </w:p>
    <w:p>
      <w:pPr>
        <w:pStyle w:val="Heading2"/>
        <w:spacing w:before="12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4.2 Herramientas metodológicas de modalidad asíncrona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Forma de aprendizaje basado en el uso de herramientas que posibilitan el intercambio de mensajes e información entre los estudiantes y el docente en tiempo diferido y sin interacción instantánea.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Dentro de la modalidad asincrónica se hará uso de metodologías colaborativas tales como: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Aprendizaje Orientado a Proyectos - AOP (virtual): Permite que el estudiante adquiriera conocimientos y competencias mediante la ejecución de su proyecto de investigación, para dar respuesta a problemas del contexto.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Portafolio de Evidencias Digital: Permite dar seguimiento a la organización y presentación de evidencias de investigación y recopilación de información para poder observar, contrastar, sugerir, incentivar, preguntar.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Foro de investigación: se realizarán foros de debate, a partir de un reactivo sobre el tema de la sesión de aprendizaje.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Aprendizaje Basado en Problemas (ABP)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Aula invertida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Retroalimentación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EJES TRANSVERSALES</w:t>
      </w:r>
    </w:p>
    <w:p>
      <w:pPr>
        <w:pStyle w:val="Heading2"/>
        <w:spacing w:before="12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4.2.1 INVESTIGACIÓN.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Fichas de investigación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Búsqueda bibliográfica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Análisis y síntesis de información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Organización y sistematización de la información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Uso de referencias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Estilos de redacción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RESPONSABILIDAD SOCIAL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Proyectos alineados a la problemática social mediante los entregables de acuerdo a cada asignatura según el programa académico y de acuerdo al proyecto de responsabilidad social de la Facultad.</w:t>
      </w:r>
    </w:p>
    <w:p>
      <w:r>
        <w:br w:type="page"/>
      </w:r>
    </w:p>
    <w:p>
      <w:pPr>
        <w:pStyle w:val="Heading1"/>
        <w:spacing w:before="360" w:after="12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br/>
        <w:t>V. ORGANIZACIÓN DE LAS UNIDADES DE APRENDIZAJE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UNIDAD DE APRENDIZAJE N° 1: Framework tpm según jimp"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Fecha de inicio: 05/07/2025     Fecha de término: 13/07/2025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Resultado de aprendizaje específico 1: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RAE1 (CE1) Fundamentos del tpm según jimp [sesión 1, 2, 3 y 4]:</w:t>
            </w:r>
          </w:p>
          <w:p>
            <w:pPr>
              <w:ind w:left="720"/>
            </w:pPr>
            <w:r>
              <w:rPr>
                <w:rFonts w:ascii="Times New Roman" w:hAnsi="Times New Roman"/>
                <w:b w:val="0"/>
                <w:sz w:val="22"/>
              </w:rPr>
              <w:t>Comprende y aplica los conceptos fundamentales del TPM según la metodología JIMP, incluyendo las 4 fases, la metodología de 12 pasos y los 8 pilares, para identificar, describir y analizar los componentes esenciales de una organización (estructura organizativa, procesos y activos) en el contexto deun sistemade gestión de mantenimiento basado en TPM, alineado con normativas como ISO 9001:2015, ISO 55000:2024 e ISO 55001:2024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Producto de aprendizaje de la unidad: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PA1 (C1) Análisis organizacional para tpm según jimp:</w:t>
            </w:r>
          </w:p>
          <w:p>
            <w:pPr>
              <w:ind w:left="720"/>
            </w:pPr>
            <w:r>
              <w:rPr>
                <w:rFonts w:ascii="Times New Roman" w:hAnsi="Times New Roman"/>
                <w:sz w:val="22"/>
              </w:rPr>
              <w:t>Analiza un caso práctico de una organización industrial para identificar, describir y evaluar sus componentes esenciales (estructura organizativa, procesos clave y portafolio de activos críticos) en relación con la metodología jimp (4 fases, 12 pasos y 8 pilares) y las normativas iso 55000:2024 e iso 55001:2024, con el fin de diseñar un plan preliminar para la implementación de un sistema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No. Sesión / Horas Lectivas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Tema / actividad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Indicador (es) de logro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Instrumentos de evaluación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05/07/2025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Sociabilización del silabo</w:t>
              <w:br/>
            </w:r>
            <w:r>
              <w:rPr>
                <w:rFonts w:ascii="Times New Roman" w:hAnsi="Times New Roman"/>
                <w:sz w:val="22"/>
              </w:rPr>
              <w:t>• Filosofía de Calidad Total.</w:t>
              <w:br/>
            </w:r>
            <w:r>
              <w:rPr>
                <w:rFonts w:ascii="Times New Roman" w:hAnsi="Times New Roman"/>
                <w:sz w:val="22"/>
              </w:rPr>
              <w:t>• Filosofía Kaizen.</w:t>
              <w:br/>
            </w:r>
            <w:r>
              <w:rPr>
                <w:rFonts w:ascii="Times New Roman" w:hAnsi="Times New Roman"/>
                <w:sz w:val="22"/>
              </w:rPr>
              <w:t>• Términos y definiciones del TPM.</w:t>
              <w:br/>
            </w:r>
            <w:r>
              <w:rPr>
                <w:rFonts w:ascii="Times New Roman" w:hAnsi="Times New Roman"/>
                <w:sz w:val="22"/>
              </w:rPr>
              <w:t>• Metodología del TPM</w:t>
              <w:br/>
            </w:r>
            <w:r>
              <w:rPr>
                <w:rFonts w:ascii="Times New Roman" w:hAnsi="Times New Roman"/>
                <w:sz w:val="22"/>
              </w:rPr>
              <w:t>• Métodos, Técnicas y Herramientas asociados al TPM</w:t>
              <w:br/>
            </w:r>
            <w:r>
              <w:rPr>
                <w:rFonts w:ascii="Times New Roman" w:hAnsi="Times New Roman"/>
                <w:sz w:val="22"/>
              </w:rPr>
              <w:t>• Evolución del TPM.</w:t>
              <w:br/>
            </w:r>
            <w:r>
              <w:rPr>
                <w:rFonts w:ascii="Times New Roman" w:hAnsi="Times New Roman"/>
                <w:sz w:val="22"/>
              </w:rPr>
              <w:t>• Aplicabilidad del TPM en las organizaciones</w:t>
              <w:br/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El estudiante elabora un informe que identifica y describe de forma precisa la estructura, los procesos clave y los activos críticos de la organización, vinculándolos coherentemente con la metodología JIMP y la norma ISO 55001:2024,</w:t>
              <w:br/>
              <w:br/>
              <w:t>evidenciando dominio sólido de los</w:t>
              <w:br/>
              <w:br/>
              <w:t>fundamentos del TPM.</w:t>
            </w:r>
          </w:p>
        </w:tc>
        <w:tc>
          <w:tcPr>
            <w:tcW w:type="dxa" w:w="2160"/>
            <w:gridSpan w:val="2"/>
            <w:vMerge w:val="restart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Listado de cotejo con escala estimativa</w:t>
            </w:r>
          </w:p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Rúbrica de avance de trabajo integrador aplicado grupal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2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06/07/2025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Mejora continua, gestión basada en procesos y ciclo PHVA en industria de procesos y</w:t>
              <w:br/>
            </w:r>
            <w:r>
              <w:rPr>
                <w:rFonts w:ascii="Times New Roman" w:hAnsi="Times New Roman"/>
                <w:sz w:val="22"/>
              </w:rPr>
              <w:t>• Manufactura.</w:t>
              <w:br/>
            </w:r>
            <w:r>
              <w:rPr>
                <w:rFonts w:ascii="Times New Roman" w:hAnsi="Times New Roman"/>
                <w:sz w:val="22"/>
              </w:rPr>
              <w:t>• Convergencia con ISO 9001:2015 y TPM.</w:t>
              <w:br/>
            </w:r>
            <w:r>
              <w:rPr>
                <w:rFonts w:ascii="Times New Roman" w:hAnsi="Times New Roman"/>
                <w:sz w:val="22"/>
              </w:rPr>
              <w:t>• Convergencia con ISO 55000:2024 y TPM.</w:t>
              <w:br/>
            </w:r>
            <w:r>
              <w:rPr>
                <w:rFonts w:ascii="Times New Roman" w:hAnsi="Times New Roman"/>
                <w:sz w:val="22"/>
              </w:rPr>
              <w:t>• Convergencia con ISO 55001:2024 y TPM.</w:t>
              <w:br/>
            </w:r>
            <w:r>
              <w:rPr>
                <w:rFonts w:ascii="Times New Roman" w:hAnsi="Times New Roman"/>
                <w:sz w:val="22"/>
              </w:rPr>
              <w:t>• Framework GFMAM y TPM.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3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12/07/2025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Estructura del framework JIMP (4 fases, 12 pasos, 8 pilares).</w:t>
              <w:br/>
            </w:r>
            <w:r>
              <w:rPr>
                <w:rFonts w:ascii="Times New Roman" w:hAnsi="Times New Roman"/>
                <w:sz w:val="22"/>
              </w:rPr>
              <w:t>• Las 16 pérdidas del TPM.</w:t>
              <w:br/>
            </w:r>
            <w:r>
              <w:rPr>
                <w:rFonts w:ascii="Times New Roman" w:hAnsi="Times New Roman"/>
                <w:sz w:val="22"/>
              </w:rPr>
              <w:t>• Las 6 mayores pérdidas.</w:t>
              <w:br/>
            </w:r>
            <w:r>
              <w:rPr>
                <w:rFonts w:ascii="Times New Roman" w:hAnsi="Times New Roman"/>
                <w:sz w:val="22"/>
              </w:rPr>
              <w:t>• Beneficios en P (Productividad), Q (Calidad), C (Costos), D (Entrega), S (Seguridad), M (Moral).</w:t>
              <w:br/>
            </w:r>
            <w:r>
              <w:rPr>
                <w:rFonts w:ascii="Times New Roman" w:hAnsi="Times New Roman"/>
                <w:sz w:val="22"/>
              </w:rPr>
              <w:t>• Casos éxito de implementación del TPM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4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13/07/2025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Las 4 fases del TPM.</w:t>
              <w:br/>
            </w:r>
            <w:r>
              <w:rPr>
                <w:rFonts w:ascii="Times New Roman" w:hAnsi="Times New Roman"/>
                <w:sz w:val="22"/>
              </w:rPr>
              <w:t>• Metodología de los 12 pasos.</w:t>
              <w:br/>
            </w:r>
            <w:r>
              <w:rPr>
                <w:rFonts w:ascii="Times New Roman" w:hAnsi="Times New Roman"/>
                <w:sz w:val="22"/>
              </w:rPr>
              <w:t>• Los 8 pilares del TPM.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UNIDAD DE APRENDIZAJE N° 2: Propuesta de valor del tpm a la organización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Fecha de inicio: 19/07/2025     Fecha de término: 20/07/2025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Resultado de aprendizaje específico 2: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RAE2 (CE2) Propuesta de valor del tpm a la organización [sesión  5 y 6] ":</w:t>
            </w:r>
          </w:p>
          <w:p>
            <w:pPr>
              <w:ind w:left="720"/>
            </w:pPr>
            <w:r>
              <w:rPr>
                <w:rFonts w:ascii="Times New Roman" w:hAnsi="Times New Roman"/>
                <w:b w:val="0"/>
                <w:sz w:val="22"/>
              </w:rPr>
              <w:t>"Desarrolla una propuesta de valor del TPM para una organización, alineada con los objetivos y estrategia de la organización; incluyendo la identificación de mudas, la definición del alcance del TPM, y utilizando herramientas de gestión como el mapa estratégico, la matriz RACI y el BSC."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Producto de aprendizaje de la unidad: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PA2 (C2) Informe estratégico de alineación del tpm:</w:t>
            </w:r>
          </w:p>
          <w:p>
            <w:pPr>
              <w:ind w:left="720"/>
            </w:pPr>
            <w:r>
              <w:rPr>
                <w:rFonts w:ascii="Times New Roman" w:hAnsi="Times New Roman"/>
                <w:sz w:val="22"/>
              </w:rPr>
              <w:t>"elabora un plan maestro detallado que incluya los 8 pilares del tpm, especificando para cada pilar los procesos, actividades, responsables y documentación requerida, siguiendo la metodología de los 12 pasos de jimp."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No. Sesión / Horas Lectivas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Tema / actividad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Indicador (es) de logro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Instrumentos de evaluación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5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19/07/2025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Contexto y partes interesadas de la organización</w:t>
              <w:br/>
            </w:r>
            <w:r>
              <w:rPr>
                <w:rFonts w:ascii="Times New Roman" w:hAnsi="Times New Roman"/>
                <w:sz w:val="22"/>
              </w:rPr>
              <w:t>• Productos y servicios</w:t>
              <w:br/>
            </w:r>
            <w:r>
              <w:rPr>
                <w:rFonts w:ascii="Times New Roman" w:hAnsi="Times New Roman"/>
                <w:sz w:val="22"/>
              </w:rPr>
              <w:t>• Volúmenes de producción</w:t>
              <w:br/>
            </w:r>
            <w:r>
              <w:rPr>
                <w:rFonts w:ascii="Times New Roman" w:hAnsi="Times New Roman"/>
                <w:sz w:val="22"/>
              </w:rPr>
              <w:t>• Procesos de la organización</w:t>
              <w:br/>
            </w:r>
            <w:r>
              <w:rPr>
                <w:rFonts w:ascii="Times New Roman" w:hAnsi="Times New Roman"/>
                <w:sz w:val="22"/>
              </w:rPr>
              <w:t>• Análisis de la estrategia organizacional</w:t>
              <w:br/>
            </w:r>
            <w:r>
              <w:rPr>
                <w:rFonts w:ascii="Times New Roman" w:hAnsi="Times New Roman"/>
                <w:sz w:val="22"/>
              </w:rPr>
              <w:t>• Identificación de mudas</w:t>
              <w:br/>
            </w:r>
            <w:r>
              <w:rPr>
                <w:rFonts w:ascii="Times New Roman" w:hAnsi="Times New Roman"/>
                <w:sz w:val="22"/>
              </w:rPr>
              <w:t>• Propuesta de valor del TPM</w:t>
              <w:br/>
            </w:r>
            <w:r>
              <w:rPr>
                <w:rFonts w:ascii="Times New Roman" w:hAnsi="Times New Roman"/>
                <w:sz w:val="22"/>
              </w:rPr>
              <w:t>• Definición del alcance del TPM</w:t>
              <w:br/>
            </w:r>
            <w:r>
              <w:rPr>
                <w:rFonts w:ascii="Times New Roman" w:hAnsi="Times New Roman"/>
                <w:sz w:val="22"/>
              </w:rPr>
              <w:t>• Establecimiento de objetivos y metas</w:t>
              <w:br/>
            </w:r>
            <w:r>
              <w:rPr>
                <w:rFonts w:ascii="Times New Roman" w:hAnsi="Times New Roman"/>
                <w:sz w:val="22"/>
              </w:rPr>
              <w:t>• Definición de estrategias e iniciativas</w:t>
              <w:br/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El estudiante desarrolla una propuesta de valor que diagnostica las mudas prioritarias, construye un mapa estratégico (BSC) y asigna responsabilidades mediante una matriz RACI, demostrando clara alineación con la estrategia corporativa y capacidad para argumentar los</w:t>
              <w:br/>
              <w:br/>
              <w:t>beneficios del TPM.</w:t>
              <w:br/>
              <w:br/>
            </w:r>
          </w:p>
        </w:tc>
        <w:tc>
          <w:tcPr>
            <w:tcW w:type="dxa" w:w="2160"/>
            <w:gridSpan w:val="2"/>
            <w:vMerge w:val="restart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Listado de cotejo con escala estimativa</w:t>
            </w:r>
          </w:p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Rúbrica de avance de trabajo integrador aplicado grupal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6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20/07/2025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Creación del mapa estratégico</w:t>
              <w:br/>
            </w:r>
            <w:r>
              <w:rPr>
                <w:rFonts w:ascii="Times New Roman" w:hAnsi="Times New Roman"/>
                <w:sz w:val="22"/>
              </w:rPr>
              <w:t>• Asignación de costos y responsables (matriz RACI)</w:t>
              <w:br/>
            </w:r>
            <w:r>
              <w:rPr>
                <w:rFonts w:ascii="Times New Roman" w:hAnsi="Times New Roman"/>
                <w:sz w:val="22"/>
              </w:rPr>
              <w:t>• Establecimiento de KPIs y uso del BSC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UNIDAD DE APRENDIZAJE N° 3: Diseño del plan maestro de tpm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Fecha de inicio: 02/08/2025     Fecha de término: 27/07/2025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Resultado de aprendizaje específico 3: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RAE3 (CE3) Diseño del plan maestro de tpm [sesión 7, 8, 9 y 10]:</w:t>
            </w:r>
          </w:p>
          <w:p>
            <w:pPr>
              <w:ind w:left="720"/>
            </w:pPr>
            <w:r>
              <w:rPr>
                <w:rFonts w:ascii="Times New Roman" w:hAnsi="Times New Roman"/>
                <w:b w:val="0"/>
                <w:sz w:val="22"/>
              </w:rPr>
              <w:t>Desarrolla un Plan Maestro de TPM que integre los 8 pilares, detallando procesos, actividades, responsables y documentación, y que esté alineado con la metodología de los 12 pasos de JIMP."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Producto de aprendizaje de la unidad: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PA3 (C3) Desarrollo del plan maestro de tpm:</w:t>
            </w:r>
          </w:p>
          <w:p>
            <w:pPr>
              <w:ind w:left="720"/>
            </w:pPr>
            <w:r>
              <w:rPr>
                <w:rFonts w:ascii="Times New Roman" w:hAnsi="Times New Roman"/>
                <w:sz w:val="22"/>
              </w:rPr>
              <w:t>Evalúa críticamente un plan estratégico de tpm utilizando matrices de verificación y validación, aplicando criterios como alineación con objetivos organizacionales, cumplimiento normativo (iso 55001:2024), coherencia interna y viabilidad técnica, para asegurar su efectividad y completitud.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No. Sesión / Horas Lectivas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Tema / actividad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Indicador (es) de logro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Instrumentos de evaluación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7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26/07/2025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Plan Maestro: visión general</w:t>
              <w:br/>
            </w:r>
            <w:r>
              <w:rPr>
                <w:rFonts w:ascii="Times New Roman" w:hAnsi="Times New Roman"/>
                <w:sz w:val="22"/>
              </w:rPr>
              <w:t>• Pilar  1: Mantenimiento Planificado</w:t>
              <w:br/>
            </w:r>
            <w:r>
              <w:rPr>
                <w:rFonts w:ascii="Times New Roman" w:hAnsi="Times New Roman"/>
                <w:sz w:val="22"/>
              </w:rPr>
              <w:t>• Pilar  2: Mantenimiento Autónomo</w:t>
              <w:br/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El estudiante diseña un Plan Maestro que integra de manera articulada los ocho pilares del TPM,</w:t>
              <w:br/>
              <w:br/>
              <w:t>define actividades, responsables, recursos y cronograma, y proyecta mejoras relevantes en el desempeño de los activos, mostrando</w:t>
              <w:br/>
              <w:br/>
              <w:t>coherencia interna y factibilidad técnica.</w:t>
              <w:br/>
              <w:br/>
            </w:r>
          </w:p>
        </w:tc>
        <w:tc>
          <w:tcPr>
            <w:tcW w:type="dxa" w:w="2160"/>
            <w:gridSpan w:val="2"/>
            <w:vMerge w:val="restart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Listado de cotejo con escala estimativa</w:t>
            </w:r>
          </w:p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Rúbrica de avance de trabajo integrador aplicado grupal</w:t>
            </w:r>
          </w:p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Rúbrica de evaluación virtual individual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8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27/07/2025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Pilar 3: Mantenimiento de Calidad</w:t>
              <w:br/>
            </w:r>
            <w:r>
              <w:rPr>
                <w:rFonts w:ascii="Times New Roman" w:hAnsi="Times New Roman"/>
                <w:sz w:val="22"/>
              </w:rPr>
              <w:t>• Pilar 4: Mejora Enfocada</w:t>
              <w:br/>
            </w:r>
            <w:r>
              <w:rPr>
                <w:rFonts w:ascii="Times New Roman" w:hAnsi="Times New Roman"/>
                <w:sz w:val="22"/>
              </w:rPr>
              <w:t>• Pilar 5: Educación y Entrenamiento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9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02/08/2025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Pilar 6: Mantenimiento en la Etapa Inicial</w:t>
              <w:br/>
            </w:r>
            <w:r>
              <w:rPr>
                <w:rFonts w:ascii="Times New Roman" w:hAnsi="Times New Roman"/>
                <w:sz w:val="22"/>
              </w:rPr>
              <w:t>• Pilar 7: Seguridad, Salud y Medio Ambiente</w:t>
              <w:br/>
            </w:r>
            <w:r>
              <w:rPr>
                <w:rFonts w:ascii="Times New Roman" w:hAnsi="Times New Roman"/>
                <w:sz w:val="22"/>
              </w:rPr>
              <w:t>• Pilar 8: TPM en Áreas Administrativas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10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03/08/2025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Estructura del Plan Maestro</w:t>
              <w:br/>
            </w:r>
            <w:r>
              <w:rPr>
                <w:rFonts w:ascii="Times New Roman" w:hAnsi="Times New Roman"/>
                <w:sz w:val="22"/>
              </w:rPr>
              <w:t>• Revisión de los 12 pasos de JIM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UNIDAD DE APRENDIZAJE N° 4: Verificación y validación del plan estratégico de tpm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Fecha de inicio: 09/08/2025     Fecha de término: 10/08/2025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Resultado de aprendizaje específico 4: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RAE4 (CE4) Verificación y validación del plan estratégico de tpm [sesión 11 y 12]:</w:t>
            </w:r>
          </w:p>
          <w:p>
            <w:pPr>
              <w:ind w:left="720"/>
            </w:pPr>
            <w:r>
              <w:rPr>
                <w:rFonts w:ascii="Times New Roman" w:hAnsi="Times New Roman"/>
                <w:b w:val="0"/>
                <w:sz w:val="22"/>
              </w:rPr>
              <w:t>Evalúa y valida el plan estratégico de TPM utilizando matrices de verificación y validación, asegurando alineación con objetivos organizacionales, cumplimiento de normativas (ISO 55001:2024) y coherencia de los 8 pilares con evidencias documentadas.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Producto de aprendizaje de la unidad: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PA4 (C4) Presentación final del plan de tpm:</w:t>
            </w:r>
          </w:p>
          <w:p>
            <w:pPr>
              <w:ind w:left="720"/>
            </w:pPr>
            <w:r>
              <w:rPr>
                <w:rFonts w:ascii="Times New Roman" w:hAnsi="Times New Roman"/>
                <w:sz w:val="22"/>
              </w:rPr>
              <w:t>Presentar y defender un plan estratégico de tpm revisado, que incorpore mejoras basadas en la retroalimentación del docente y las mejores prácticas discutidas, demostrando cómo cumple con los criterios de verificación y validación y se alinea con los objetivos organizacionales.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No. Sesión / Horas Lectivas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Tema / actividad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Indicador (es) de logro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Instrumentos de evaluación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11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09/08/2025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Presentación del trabajo integrador</w:t>
              <w:br/>
            </w:r>
            <w:r>
              <w:rPr>
                <w:rFonts w:ascii="Times New Roman" w:hAnsi="Times New Roman"/>
                <w:sz w:val="22"/>
              </w:rPr>
              <w:t>• Verificación por el docente</w:t>
              <w:br/>
            </w:r>
            <w:r>
              <w:rPr>
                <w:rFonts w:ascii="Times New Roman" w:hAnsi="Times New Roman"/>
                <w:sz w:val="22"/>
              </w:rPr>
              <w:t>• Retroalimentación y discusión</w:t>
              <w:br/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El estudiante presenta y defiende el Plan Maestro revisado, demostrando</w:t>
              <w:br/>
              <w:br/>
              <w:t>verificación y validación rigurosas respecto a los objetivos de la organización y a la norma ISO 55001:2024, y</w:t>
              <w:br/>
              <w:br/>
              <w:t>sustenta sus decisiones con argumentos técnicos y estratégicos sólidos ante el panel evaluador.</w:t>
              <w:br/>
              <w:br/>
            </w:r>
          </w:p>
        </w:tc>
        <w:tc>
          <w:tcPr>
            <w:tcW w:type="dxa" w:w="2160"/>
            <w:gridSpan w:val="2"/>
            <w:vMerge w:val="restart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Listado de cotejo con escala estimativa</w:t>
            </w:r>
          </w:p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Rúbrica del informe del trabajo integrador aplicado grupal</w:t>
            </w:r>
          </w:p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Rúbrica de video del proyecto integrador aplicado individual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12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10/08/2025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Exposición del trabajo integrador</w:t>
              <w:br/>
            </w:r>
            <w:r>
              <w:rPr>
                <w:rFonts w:ascii="Times New Roman" w:hAnsi="Times New Roman"/>
                <w:sz w:val="22"/>
              </w:rPr>
              <w:t>• Validación por el docente</w:t>
              <w:br/>
            </w:r>
            <w:r>
              <w:rPr>
                <w:rFonts w:ascii="Times New Roman" w:hAnsi="Times New Roman"/>
                <w:sz w:val="22"/>
              </w:rPr>
              <w:t>• Discusión y mejores prácticas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</w:tbl>
    <w:p/>
    <w:p>
      <w:pPr>
        <w:spacing w:before="120" w:after="0"/>
        <w:ind w:left="0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(*) Observación: En los programas de Doctorado con asignaturas de duración de módulo de 6 semanas u 8 semanas deberán considerar el número de unidades de aprendizaje según corresponda.</w:t>
      </w:r>
    </w:p>
    <w:p>
      <w:pPr>
        <w:pStyle w:val="Heading1"/>
        <w:spacing w:before="36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VI. SISTEMA DE EVALUACIÓN DE LA ASIGNATURA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Se contemplan dentro del sistema de evaluación, evaluación diagnóstica y evaluación sumativa.</w:t>
      </w:r>
    </w:p>
    <w:p>
      <w:pPr>
        <w:pStyle w:val="Heading2"/>
        <w:spacing w:before="36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REQUISITOS PARA APROBAR LA ASIGNATURA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Conforme a las disposiciones de los reglamentos de estudios de la Escuela de Posgrado de la Universidad Nacional del Callao, se tendrá a consideración lo siguiente:</w:t>
      </w:r>
    </w:p>
    <w:p>
      <w:pPr>
        <w:spacing w:before="120" w:after="0"/>
        <w:ind w:left="576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● Participación activa en todas las tareas de aprendizaje.</w:t>
      </w:r>
    </w:p>
    <w:p>
      <w:pPr>
        <w:spacing w:before="120" w:after="0"/>
        <w:ind w:left="576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● Asistencia 70% mínimo.</w:t>
      </w:r>
    </w:p>
    <w:p>
      <w:pPr>
        <w:spacing w:before="120" w:after="0"/>
        <w:ind w:left="576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● La escala de calificación es de 0 a 20.</w:t>
      </w:r>
    </w:p>
    <w:p>
      <w:pPr>
        <w:spacing w:before="120" w:after="0"/>
        <w:ind w:left="576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● El estudiante aprueba si su nota promocional es mayor o igual a 14.</w:t>
      </w:r>
    </w:p>
    <w:p>
      <w:pPr>
        <w:spacing w:before="24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evaluación del aprendizaje se adecua a la modalidad no presencial, considerando las capacidades y los productos de aprendizaje evaluados descritos para cada unidad. Se evalúa antes, durante y al finalizar el proceso de enseñanza-aprendizaje, considerando la aplicación de los instrumentos de evaluación pertinentes.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Evaluación diagnóstica: Se aplica en la primera sesión de aprendizaje para evaluar los saberes previos necesarios para el desarrollo de la asignatura y la toma de decisiones por parte del docente.</w:t>
      </w:r>
    </w:p>
    <w:p>
      <w:pPr>
        <w:pStyle w:val="Heading2"/>
        <w:spacing w:before="360"/>
        <w:ind w:left="0"/>
      </w:pPr>
      <w:r>
        <w:rPr>
          <w:rFonts w:ascii="Arial" w:hAnsi="Arial"/>
          <w:b/>
          <w:sz w:val="24"/>
        </w:rPr>
        <w:t>Evaluación sumativa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872"/>
            <w:gridSpan w:val="5"/>
          </w:tcPr>
          <w:p>
            <w:pPr>
              <w:jc w:val="center"/>
            </w:pPr>
            <w:r>
              <w:rPr>
                <w:rFonts w:ascii="Arial" w:hAnsi="Arial"/>
                <w:b/>
                <w:sz w:val="22"/>
              </w:rPr>
              <w:t>EVALUACIÓN SUMATIVA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UNIDAD DE APRENDIZAJE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EVALUACIÓN FORMATIVA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EVALUACIÓN SUMATIVA (%)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PESO (%)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EVALUACIÓN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I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Cuestionario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T1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II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Cuestionario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T2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III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Cuestionario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T3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IV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Cuestionario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TF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PROMEDIO FINAL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100%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PF</w:t>
            </w:r>
          </w:p>
        </w:tc>
      </w:tr>
    </w:tbl>
    <w:p/>
    <w:p>
      <w:pPr>
        <w:spacing w:before="120"/>
        <w:ind w:left="0"/>
      </w:pPr>
      <w:r>
        <w:rPr>
          <w:rFonts w:ascii="Arial" w:hAnsi="Arial"/>
          <w:b/>
          <w:sz w:val="22"/>
        </w:rPr>
        <w:t>FÓRMULA PARA LA OBTENCIÓN DE LA NOTA FINAL:</w:t>
      </w:r>
    </w:p>
    <w:p>
      <w:pPr>
        <w:spacing w:before="0"/>
        <w:ind w:left="0"/>
      </w:pPr>
      <w:r>
        <w:rPr>
          <w:rFonts w:ascii="Arial" w:hAnsi="Arial"/>
          <w:b w:val="0"/>
          <w:sz w:val="20"/>
        </w:rPr>
        <w:t>NF = (TA1 * 0.25) + (EC1 * 0.20) + (TA2 * 0.25) + (EC2 * 0.20) + (PA * 0.10)</w:t>
      </w:r>
    </w:p>
    <w:p>
      <w:pPr>
        <w:pStyle w:val="Heading1"/>
        <w:spacing w:before="240"/>
        <w:jc w:val="left"/>
      </w:pPr>
      <w:r>
        <w:rPr>
          <w:b/>
          <w:color w:val="000000"/>
          <w:sz w:val="24"/>
        </w:rPr>
        <w:t>VII. REFERENCIAS</w:t>
      </w:r>
    </w:p>
    <w:p>
      <w:pPr>
        <w:ind w:left="720" w:hanging="720"/>
        <w:jc w:val="both"/>
      </w:pPr>
      <w:r>
        <w:rPr>
          <w:rFonts w:ascii="Times New Roman" w:hAnsi="Times New Roman"/>
          <w:i/>
          <w:sz w:val="22"/>
        </w:rPr>
        <w:t xml:space="preserve">• </w:t>
      </w:r>
      <w:r>
        <w:rPr>
          <w:rFonts w:ascii="Times New Roman" w:hAnsi="Times New Roman"/>
          <w:i/>
          <w:sz w:val="22"/>
        </w:rPr>
        <w:t>Cerna, J., Perez, S. y Alvarado, N. (2025). La computación. Editorial Alfa.</w:t>
      </w:r>
    </w:p>
    <w:p>
      <w:pPr>
        <w:pStyle w:val="Heading1"/>
        <w:spacing w:before="240"/>
        <w:jc w:val="left"/>
      </w:pPr>
      <w:r>
        <w:rPr>
          <w:b/>
          <w:color w:val="000000"/>
          <w:sz w:val="24"/>
        </w:rPr>
        <w:t>VIII. NORMAS DE CONVIVENCIA</w:t>
      </w:r>
    </w:p>
    <w:p>
      <w:pPr>
        <w:pStyle w:val="ListNumber"/>
        <w:ind w:left="680"/>
      </w:pPr>
      <w:r>
        <w:t>Respeto.</w:t>
      </w:r>
    </w:p>
    <w:p>
      <w:pPr>
        <w:pStyle w:val="ListNumber"/>
        <w:ind w:left="680"/>
      </w:pPr>
      <w:r>
        <w:t>Asistencia.</w:t>
      </w:r>
    </w:p>
    <w:p>
      <w:pPr>
        <w:pStyle w:val="ListNumber"/>
        <w:ind w:left="680"/>
      </w:pPr>
      <w:r>
        <w:t>Puntualidad.</w:t>
      </w:r>
    </w:p>
    <w:p>
      <w:pPr>
        <w:pStyle w:val="ListNumber"/>
        <w:ind w:left="680"/>
      </w:pPr>
      <w:r>
        <w:t>Presentación oportuna de los entregables.</w:t>
      </w:r>
    </w:p>
    <w:p>
      <w:pPr>
        <w:spacing w:before="240"/>
        <w:ind w:left="0"/>
      </w:pPr>
      <w:r>
        <w:rPr>
          <w:rFonts w:ascii="Arial" w:hAnsi="Arial"/>
          <w:b w:val="0"/>
          <w:sz w:val="20"/>
        </w:rPr>
        <w:t>Bellavista, marzo de 2025.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432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Grid>
      <w:gridCol w:w="480"/>
      <w:gridCol w:w="480"/>
      <w:gridCol w:w="480"/>
      <w:gridCol w:w="480"/>
      <w:gridCol w:w="480"/>
      <w:gridCol w:w="480"/>
    </w:tblGrid>
    <w:tr>
      <w:tc>
        <w:tcPr>
          <w:tcW w:type="dxa" w:w="1440"/>
          <w:vMerge w:val="restart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drawing>
              <wp:inline xmlns:a="http://schemas.openxmlformats.org/drawingml/2006/main" xmlns:pic="http://schemas.openxmlformats.org/drawingml/2006/picture">
                <wp:extent cx="685800" cy="939452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U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" cy="939452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7344"/>
          <w:gridSpan w:val="5"/>
          <w:shd w:fill="B7D6F0"/>
          <w:shd w:fill="B7D6F0"/>
          <w:shd w:fill="B7D6F0"/>
          <w:shd w:fill="B7D6F0"/>
          <w:shd w:fill="B7D6F0"/>
        </w:tcPr>
        <w:p>
          <w:pPr>
            <w:spacing w:after="0" w:before="0"/>
            <w:jc w:val="center"/>
          </w:pPr>
          <w:r>
            <w:rPr>
              <w:rFonts w:ascii="Arial" w:hAnsi="Arial"/>
              <w:b/>
              <w:sz w:val="22"/>
            </w:rPr>
            <w:t>FORMACIÓN ACADÉMICA Y PROFESIONAL</w:t>
          </w:r>
        </w:p>
      </w:tc>
    </w:tr>
    <w:tr>
      <w:trPr>
        <w:trHeight w:val="288"/>
      </w:trPr>
      <w:tc>
        <w:tcPr>
          <w:tcW w:type="dxa" w:w="1440"/>
          <w:vMerge/>
        </w:tcPr>
        <w:p/>
      </w:tc>
      <w:tc>
        <w:tcPr>
          <w:tcW w:type="dxa" w:w="2880"/>
          <w:gridSpan w:val="2"/>
          <w:vAlign w:val="center"/>
        </w:tcPr>
        <w:p>
          <w:pPr>
            <w:spacing w:before="120" w:after="0"/>
            <w:jc w:val="left"/>
          </w:pPr>
          <w:r>
            <w:rPr>
              <w:rFonts w:ascii="Arial" w:hAnsi="Arial"/>
              <w:sz w:val="16"/>
            </w:rPr>
            <w:t>PROCESO NIVEL 0:</w:t>
          </w:r>
        </w:p>
      </w:tc>
      <w:tc>
        <w:tcPr>
          <w:tcW w:type="dxa" w:w="4464"/>
          <w:gridSpan w:val="3"/>
          <w:vAlign w:val="center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>ENSEÑANZA – APRENDIZAJE</w:t>
          </w:r>
        </w:p>
      </w:tc>
    </w:tr>
    <w:tr>
      <w:trPr>
        <w:trHeight w:val="288"/>
      </w:trPr>
      <w:tc>
        <w:tcPr>
          <w:tcW w:type="dxa" w:w="1440"/>
          <w:vMerge/>
        </w:tcPr>
        <w:p/>
      </w:tc>
      <w:tc>
        <w:tcPr>
          <w:tcW w:type="dxa" w:w="2880"/>
          <w:gridSpan w:val="2"/>
          <w:vAlign w:val="center"/>
        </w:tcPr>
        <w:p>
          <w:pPr>
            <w:spacing w:before="120" w:after="0"/>
            <w:jc w:val="left"/>
          </w:pPr>
          <w:r>
            <w:rPr>
              <w:rFonts w:ascii="Arial" w:hAnsi="Arial"/>
              <w:sz w:val="16"/>
            </w:rPr>
            <w:t>REGISTRO</w:t>
          </w:r>
        </w:p>
      </w:tc>
      <w:tc>
        <w:tcPr>
          <w:tcW w:type="dxa" w:w="4464"/>
          <w:gridSpan w:val="3"/>
          <w:vAlign w:val="center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>FORMATO DE SÍLABO</w:t>
          </w:r>
        </w:p>
      </w:tc>
    </w:tr>
    <w:tr>
      <w:trPr>
        <w:trHeight w:val="288"/>
      </w:trPr>
      <w:tc>
        <w:tcPr>
          <w:tcW w:type="dxa" w:w="1440"/>
          <w:vMerge/>
        </w:tcPr>
        <w:p/>
      </w:tc>
      <w:tc>
        <w:tcPr>
          <w:tcW w:type="dxa" w:w="2880"/>
          <w:gridSpan w:val="2"/>
          <w:vAlign w:val="top"/>
        </w:tcPr>
        <w:p>
          <w:pPr>
            <w:spacing w:before="120" w:after="0"/>
            <w:jc w:val="left"/>
          </w:pPr>
          <w:r>
            <w:rPr>
              <w:rFonts w:ascii="Arial" w:hAnsi="Arial"/>
              <w:sz w:val="16"/>
            </w:rPr>
            <w:t>Código: M.FAP.03.01/R2</w:t>
          </w:r>
        </w:p>
      </w:tc>
      <w:tc>
        <w:tcPr>
          <w:tcW w:type="dxa" w:w="1440"/>
          <w:vAlign w:val="top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>Versión: 1</w:t>
          </w:r>
        </w:p>
      </w:tc>
      <w:tc>
        <w:tcPr>
          <w:tcW w:type="dxa" w:w="1440"/>
          <w:vAlign w:val="top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>Fecha: 2024-03-08</w:t>
          </w:r>
        </w:p>
      </w:tc>
      <w:tc>
        <w:tcPr>
          <w:tcW w:type="dxa" w:w="1584"/>
          <w:vAlign w:val="top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 xml:space="preserve">Página: </w:t>
          </w:r>
          <w:r>
            <w:rPr>
              <w:rFonts w:ascii="Arial" w:hAnsi="Arial"/>
              <w:sz w:val="16"/>
            </w:rPr>
            <w:fldChar w:fldCharType="begin"/>
          </w:r>
          <w:r>
            <w:rPr>
              <w:rFonts w:ascii="Arial" w:hAnsi="Arial"/>
              <w:sz w:val="16"/>
            </w:rPr>
            <w:instrText>PAGE</w:instrText>
          </w:r>
          <w:r>
            <w:rPr>
              <w:rFonts w:ascii="Arial" w:hAnsi="Arial"/>
              <w:sz w:val="16"/>
            </w:rPr>
            <w:fldChar w:fldCharType="end"/>
          </w:r>
          <w:r>
            <w:rPr>
              <w:rFonts w:ascii="Arial" w:hAnsi="Arial"/>
              <w:sz w:val="16"/>
            </w:rPr>
            <w:t xml:space="preserve"> de </w:t>
          </w:r>
          <w:r>
            <w:rPr>
              <w:rFonts w:ascii="Arial" w:hAnsi="Arial"/>
              <w:sz w:val="16"/>
            </w:rPr>
            <w:fldChar w:fldCharType="begin"/>
          </w:r>
          <w:r>
            <w:rPr>
              <w:rFonts w:ascii="Arial" w:hAnsi="Arial"/>
              <w:sz w:val="16"/>
            </w:rPr>
            <w:instrText>NUMPAGES</w:instrText>
          </w:r>
          <w:r>
            <w:rPr>
              <w:rFonts w:ascii="Arial" w:hAnsi="Arial"/>
              <w:sz w:val="16"/>
            </w:rPr>
            <w:fldChar w:fldCharType="end"/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