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caps/>
          <w:color w:val="5B6470"/>
          <w:spacing w:val="20"/>
          <w:sz w:val="24"/>
          <w:szCs w:val="24"/>
        </w:rPr>
        <w:t xml:space="preserve">Proyecto Nexora</w:t>
      </w:r>
    </w:p>
    <w:p>
      <w:pPr>
        <w:pStyle w:val="TitleBig"/>
      </w:pPr>
      <w:r>
        <w:t xml:space="preserve">Clase 1</w:t>
      </w:r>
    </w:p>
    <w:p>
      <w:pPr>
        <w:pStyle w:val="TitleSub"/>
      </w:pPr>
      <w:r>
        <w:t xml:space="preserve">Nexora de extremo a extremo y fundamentos de AWS Cloud Practitioner</w:t>
      </w:r>
    </w:p>
    <w:p>
      <w:pPr>
        <w:pBdr>
          <w:bottom w:val="single" w:color="1F3864" w:sz="8" w:space="8"/>
        </w:pBdr>
        <w:spacing w:after="200" w:before="200"/>
      </w:pPr>
      <w:r>
        <w:t xml:space="preserve"/>
      </w:r>
    </w:p>
    <w:p>
      <w:pPr>
        <w:spacing w:after="70"/>
      </w:pPr>
      <w:r>
        <w:rPr>
          <w:b/>
          <w:bCs/>
        </w:rPr>
        <w:t xml:space="preserve">Formato: </w:t>
      </w:r>
      <w:r>
        <w:t xml:space="preserve">Guía del mentor — sesión práctica y teórica</w:t>
      </w:r>
    </w:p>
    <w:p>
      <w:pPr>
        <w:spacing w:after="70"/>
      </w:pPr>
      <w:r>
        <w:rPr>
          <w:b/>
          <w:bCs/>
        </w:rPr>
        <w:t xml:space="preserve">Duración sugerida: </w:t>
      </w:r>
      <w:r>
        <w:t xml:space="preserve">90 – 120 minutos</w:t>
      </w:r>
    </w:p>
    <w:p>
      <w:pPr>
        <w:spacing w:after="70"/>
      </w:pPr>
      <w:r>
        <w:rPr>
          <w:b/>
          <w:bCs/>
        </w:rPr>
        <w:t xml:space="preserve">Modalidad: </w:t>
      </w:r>
      <w:r>
        <w:t xml:space="preserve">100 % local con Docker Desktop y Floci. No se usa la cuenta AWS ni se consumen los USD 50 del laboratorio.</w:t>
      </w:r>
    </w:p>
    <w:p>
      <w:pPr>
        <w:spacing w:after="70"/>
      </w:pPr>
      <w:r>
        <w:rPr>
          <w:b/>
          <w:bCs/>
        </w:rPr>
        <w:t xml:space="preserve">Objetivo de certificación: </w:t>
      </w:r>
      <w:r>
        <w:t xml:space="preserve">AWS Certified Cloud Practitioner (CLF-C02)</w:t>
      </w:r>
    </w:p>
    <w:p>
      <w:pPr>
        <w:spacing w:after="70"/>
      </w:pPr>
      <w:r>
        <w:rPr>
          <w:b/>
          <w:bCs/>
        </w:rPr>
        <w:t xml:space="preserve">Base de esta guía: </w:t>
      </w:r>
      <w:r>
        <w:t xml:space="preserve">Estado real del repositorio en el commit 019022a ("feat: initialize Nexora SaaS MVP foundation")</w:t>
      </w:r>
    </w:p>
    <w:p>
      <w:pPr>
        <w:spacing w:after="70"/>
      </w:pPr>
      <w:r>
        <w:rPr>
          <w:b/>
          <w:bCs/>
        </w:rPr>
        <w:t xml:space="preserve">Regla pedagógica: </w:t>
      </w:r>
      <w:r>
        <w:t xml:space="preserve">Cada clase produce una evidencia práctica y la conecta con conceptos del examen.</w:t>
      </w:r>
    </w:p>
    <w:p>
      <w:pPr>
        <w:spacing w:before="260"/>
      </w:pPr>
      <w:r>
        <w:rPr>
          <w:i/>
          <w:iCs/>
          <w:color w:val="5B6470"/>
        </w:rPr>
        <w:t xml:space="preserve">Secuencia de cada tema: concepto → diagrama → ejecución → error intencional → corrección → pregunta de certificación.</w:t>
      </w:r>
    </w:p>
    <w:p>
      <w:r>
        <w:br w:type="page"/>
      </w:r>
    </w:p>
    <w:p>
      <w:pPr>
        <w:spacing w:after="120"/>
      </w:pPr>
      <w:r>
        <w:rPr>
          <w:rFonts w:ascii="Calibri Light" w:cs="Calibri Light" w:eastAsia="Calibri Light" w:hAnsi="Calibri Light"/>
          <w:b/>
          <w:bCs/>
          <w:color w:val="1F3864"/>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60"/>
      </w:pPr>
      <w:r>
        <w:rPr>
          <w:i/>
          <w:iCs/>
          <w:color w:val="5B6470"/>
          <w:sz w:val="16"/>
          <w:szCs w:val="16"/>
        </w:rPr>
        <w:t xml:space="preserve">Si el índice aparece vacío, en Word: clic derecho sobre él → “Actualizar campos”.</w:t>
      </w:r>
    </w:p>
    <w:p>
      <w:r>
        <w:br w:type="page"/>
      </w:r>
    </w:p>
    <w:p>
      <w:pPr>
        <w:pStyle w:val="Heading1"/>
      </w:pPr>
      <w:r>
        <w:t xml:space="preserve">1. Cómo usar esta guía</w:t>
      </w:r>
    </w:p>
    <w:p>
      <w:pPr>
        <w:pStyle w:val="Lead"/>
        <w:spacing w:after="160"/>
      </w:pPr>
      <w:r>
        <w:t xml:space="preserve">Esta primera clase tiene dos metas: que la mentee entienda Nexora de principio a fin y que conecte cada decisión técnica con los dominios de AWS Cloud Practitioner. No es una revisión de código: es un recorrido guiado que alterna explicación breve, demostración y laboratorio.</w:t>
      </w:r>
    </w:p>
    <w:p>
      <w:pPr>
        <w:pStyle w:val="Heading2"/>
      </w:pPr>
      <w:r>
        <w:t xml:space="preserve">1.1 Objetivos de la sesión</w:t>
      </w:r>
    </w:p>
    <w:p>
      <w:pPr>
        <w:pStyle w:val="ListParagraph"/>
        <w:numPr>
          <w:ilvl w:val="0"/>
          <w:numId w:val="2"/>
        </w:numPr>
        <w:spacing w:after="60"/>
      </w:pPr>
      <w:r>
        <w:t xml:space="preserve">Explicar qué es Nexora, qué problema resuelve y qué significa que sea un SaaS multi-tenant.</w:t>
      </w:r>
    </w:p>
    <w:p>
      <w:pPr>
        <w:pStyle w:val="ListParagraph"/>
        <w:numPr>
          <w:ilvl w:val="0"/>
          <w:numId w:val="2"/>
        </w:numPr>
        <w:spacing w:after="60"/>
      </w:pPr>
      <w:r>
        <w:t xml:space="preserve">Identificar en el repositorio el frontend, el backend, los contratos compartidos y la infraestructura.</w:t>
      </w:r>
    </w:p>
    <w:p>
      <w:pPr>
        <w:pStyle w:val="ListParagraph"/>
        <w:numPr>
          <w:ilvl w:val="0"/>
          <w:numId w:val="2"/>
        </w:numPr>
        <w:spacing w:after="60"/>
      </w:pPr>
      <w:r>
        <w:t xml:space="preserve">Levantar el proyecto completo en local con Docker y Floci, y probar los endpoints de salud y de dashboard.</w:t>
      </w:r>
    </w:p>
    <w:p>
      <w:pPr>
        <w:pStyle w:val="ListParagraph"/>
        <w:numPr>
          <w:ilvl w:val="0"/>
          <w:numId w:val="2"/>
        </w:numPr>
        <w:spacing w:after="60"/>
      </w:pPr>
      <w:r>
        <w:t xml:space="preserve">Relacionar cada servicio AWS del diseño (DynamoDB, Lambda, API Gateway, S3, CloudFront, IAM, CloudWatch, Budgets) con un concepto del examen CLF-C02.</w:t>
      </w:r>
    </w:p>
    <w:p>
      <w:pPr>
        <w:pStyle w:val="ListParagraph"/>
        <w:numPr>
          <w:ilvl w:val="0"/>
          <w:numId w:val="2"/>
        </w:numPr>
        <w:spacing w:after="60"/>
      </w:pPr>
      <w:r>
        <w:t xml:space="preserve">Distinguir con honestidad lo que ya está construido de lo que está planificado en el roadmap.</w:t>
      </w:r>
    </w:p>
    <w:p>
      <w:pPr>
        <w:pStyle w:val="ListParagraph"/>
        <w:numPr>
          <w:ilvl w:val="0"/>
          <w:numId w:val="2"/>
        </w:numPr>
        <w:spacing w:after="60"/>
      </w:pPr>
      <w:r>
        <w:t xml:space="preserve">Practicar la secuencia “provocar un error → leerlo → corregirlo” como método de aprendizaje.</w:t>
      </w:r>
    </w:p>
    <w:p>
      <w:pPr>
        <w:pStyle w:val="Heading2"/>
      </w:pPr>
      <w:r>
        <w:t xml:space="preserve">1.2 Requisitos en la máquina de la mentee</w:t>
      </w:r>
    </w:p>
    <w:tbl>
      <w:tblPr>
        <w:tblW w:type="dxa" w:w="9360"/>
        <w:tblBorders>
          <w:top w:val="single" w:color="C9D2DC" w:sz="4"/>
          <w:left w:val="single" w:color="C9D2DC" w:sz="4"/>
          <w:bottom w:val="single" w:color="C9D2DC" w:sz="4"/>
          <w:right w:val="single" w:color="C9D2DC" w:sz="4"/>
          <w:insideH w:val="single" w:color="D9DEE5" w:sz="4"/>
          <w:insideV w:val="single" w:color="D9DEE5" w:sz="4"/>
        </w:tblBorders>
      </w:tblPr>
      <w:tblGrid>
        <w:gridCol w:w="1900"/>
        <w:gridCol w:w="1400"/>
        <w:gridCol w:w="6060"/>
      </w:tblGrid>
      <w:tr>
        <w:trPr>
          <w:tblHeader/>
        </w:trPr>
        <w:tc>
          <w:tcPr>
            <w:tcW w:type="dxa" w:w="1900"/>
            <w:shd w:fill="E8EDF3" w:color="auto" w:val="clear"/>
            <w:tcMar>
              <w:top w:type="dxa" w:w="90"/>
              <w:left w:type="dxa" w:w="130"/>
              <w:bottom w:type="dxa" w:w="90"/>
              <w:right w:type="dxa" w:w="130"/>
            </w:tcMar>
            <w:vAlign w:val="center"/>
          </w:tcPr>
          <w:p>
            <w:pPr>
              <w:spacing w:after="0"/>
            </w:pPr>
            <w:r>
              <w:rPr>
                <w:b/>
                <w:bCs/>
                <w:color w:val="1F3864"/>
              </w:rPr>
              <w:t xml:space="preserve">Herramienta</w:t>
            </w:r>
          </w:p>
        </w:tc>
        <w:tc>
          <w:tcPr>
            <w:tcW w:type="dxa" w:w="1400"/>
            <w:shd w:fill="E8EDF3" w:color="auto" w:val="clear"/>
            <w:tcMar>
              <w:top w:type="dxa" w:w="90"/>
              <w:left w:type="dxa" w:w="130"/>
              <w:bottom w:type="dxa" w:w="90"/>
              <w:right w:type="dxa" w:w="130"/>
            </w:tcMar>
            <w:vAlign w:val="center"/>
          </w:tcPr>
          <w:p>
            <w:pPr>
              <w:spacing w:after="0"/>
            </w:pPr>
            <w:r>
              <w:rPr>
                <w:b/>
                <w:bCs/>
                <w:color w:val="1F3864"/>
              </w:rPr>
              <w:t xml:space="preserve">Versión</w:t>
            </w:r>
          </w:p>
        </w:tc>
        <w:tc>
          <w:tcPr>
            <w:tcW w:type="dxa" w:w="6060"/>
            <w:shd w:fill="E8EDF3" w:color="auto" w:val="clear"/>
            <w:tcMar>
              <w:top w:type="dxa" w:w="90"/>
              <w:left w:type="dxa" w:w="130"/>
              <w:bottom w:type="dxa" w:w="90"/>
              <w:right w:type="dxa" w:w="130"/>
            </w:tcMar>
            <w:vAlign w:val="center"/>
          </w:tcPr>
          <w:p>
            <w:pPr>
              <w:spacing w:after="0"/>
            </w:pPr>
            <w:r>
              <w:rPr>
                <w:b/>
                <w:bCs/>
                <w:color w:val="1F3864"/>
              </w:rPr>
              <w:t xml:space="preserve">Para qué</w:t>
            </w:r>
          </w:p>
        </w:tc>
      </w:tr>
      <w:tr>
        <w:tc>
          <w:tcPr>
            <w:tcW w:type="dxa" w:w="1900"/>
            <w:tcMar>
              <w:top w:type="dxa" w:w="90"/>
              <w:left w:type="dxa" w:w="130"/>
              <w:bottom w:type="dxa" w:w="90"/>
              <w:right w:type="dxa" w:w="130"/>
            </w:tcMar>
            <w:vAlign w:val="center"/>
          </w:tcPr>
          <w:p>
            <w:pPr>
              <w:spacing w:after="0"/>
            </w:pPr>
            <w:r>
              <w:t xml:space="preserve">Bun</w:t>
            </w:r>
          </w:p>
        </w:tc>
        <w:tc>
          <w:tcPr>
            <w:tcW w:type="dxa" w:w="1400"/>
            <w:tcMar>
              <w:top w:type="dxa" w:w="90"/>
              <w:left w:type="dxa" w:w="130"/>
              <w:bottom w:type="dxa" w:w="90"/>
              <w:right w:type="dxa" w:w="130"/>
            </w:tcMar>
            <w:vAlign w:val="center"/>
          </w:tcPr>
          <w:p>
            <w:pPr>
              <w:spacing w:after="0"/>
            </w:pPr>
            <w:r>
              <w:t xml:space="preserve">1.3+</w:t>
            </w:r>
          </w:p>
        </w:tc>
        <w:tc>
          <w:tcPr>
            <w:tcW w:type="dxa" w:w="6060"/>
            <w:tcMar>
              <w:top w:type="dxa" w:w="90"/>
              <w:left w:type="dxa" w:w="130"/>
              <w:bottom w:type="dxa" w:w="90"/>
              <w:right w:type="dxa" w:w="130"/>
            </w:tcMar>
            <w:vAlign w:val="center"/>
          </w:tcPr>
          <w:p>
            <w:pPr>
              <w:spacing w:after="0"/>
            </w:pPr>
            <w:r>
              <w:t xml:space="preserve">Instalar dependencias y ejecutar scripts, pruebas y build del monorepo</w:t>
            </w:r>
          </w:p>
        </w:tc>
      </w:tr>
      <w:tr>
        <w:tc>
          <w:tcPr>
            <w:tcW w:type="dxa" w:w="1900"/>
            <w:tcMar>
              <w:top w:type="dxa" w:w="90"/>
              <w:left w:type="dxa" w:w="130"/>
              <w:bottom w:type="dxa" w:w="90"/>
              <w:right w:type="dxa" w:w="130"/>
            </w:tcMar>
            <w:vAlign w:val="center"/>
          </w:tcPr>
          <w:p>
            <w:pPr>
              <w:spacing w:after="0"/>
            </w:pPr>
            <w:r>
              <w:t xml:space="preserve">Node.js</w:t>
            </w:r>
          </w:p>
        </w:tc>
        <w:tc>
          <w:tcPr>
            <w:tcW w:type="dxa" w:w="1400"/>
            <w:tcMar>
              <w:top w:type="dxa" w:w="90"/>
              <w:left w:type="dxa" w:w="130"/>
              <w:bottom w:type="dxa" w:w="90"/>
              <w:right w:type="dxa" w:w="130"/>
            </w:tcMar>
            <w:vAlign w:val="center"/>
          </w:tcPr>
          <w:p>
            <w:pPr>
              <w:spacing w:after="0"/>
            </w:pPr>
            <w:r>
              <w:t xml:space="preserve">24+</w:t>
            </w:r>
          </w:p>
        </w:tc>
        <w:tc>
          <w:tcPr>
            <w:tcW w:type="dxa" w:w="6060"/>
            <w:tcMar>
              <w:top w:type="dxa" w:w="90"/>
              <w:left w:type="dxa" w:w="130"/>
              <w:bottom w:type="dxa" w:w="90"/>
              <w:right w:type="dxa" w:w="130"/>
            </w:tcMar>
            <w:vAlign w:val="center"/>
          </w:tcPr>
          <w:p>
            <w:pPr>
              <w:spacing w:after="0"/>
            </w:pPr>
            <w:r>
              <w:t xml:space="preserve">Runtime del backend (Fastify) y del handler de Lambda</w:t>
            </w:r>
          </w:p>
        </w:tc>
      </w:tr>
      <w:tr>
        <w:tc>
          <w:tcPr>
            <w:tcW w:type="dxa" w:w="1900"/>
            <w:tcMar>
              <w:top w:type="dxa" w:w="90"/>
              <w:left w:type="dxa" w:w="130"/>
              <w:bottom w:type="dxa" w:w="90"/>
              <w:right w:type="dxa" w:w="130"/>
            </w:tcMar>
            <w:vAlign w:val="center"/>
          </w:tcPr>
          <w:p>
            <w:pPr>
              <w:spacing w:after="0"/>
            </w:pPr>
            <w:r>
              <w:t xml:space="preserve">Docker Desktop</w:t>
            </w:r>
          </w:p>
        </w:tc>
        <w:tc>
          <w:tcPr>
            <w:tcW w:type="dxa" w:w="1400"/>
            <w:tcMar>
              <w:top w:type="dxa" w:w="90"/>
              <w:left w:type="dxa" w:w="130"/>
              <w:bottom w:type="dxa" w:w="90"/>
              <w:right w:type="dxa" w:w="130"/>
            </w:tcMar>
            <w:vAlign w:val="center"/>
          </w:tcPr>
          <w:p>
            <w:pPr>
              <w:spacing w:after="0"/>
            </w:pPr>
            <w:r>
              <w:t xml:space="preserve">reciente</w:t>
            </w:r>
          </w:p>
        </w:tc>
        <w:tc>
          <w:tcPr>
            <w:tcW w:type="dxa" w:w="6060"/>
            <w:tcMar>
              <w:top w:type="dxa" w:w="90"/>
              <w:left w:type="dxa" w:w="130"/>
              <w:bottom w:type="dxa" w:w="90"/>
              <w:right w:type="dxa" w:w="130"/>
            </w:tcMar>
            <w:vAlign w:val="center"/>
          </w:tcPr>
          <w:p>
            <w:pPr>
              <w:spacing w:after="0"/>
            </w:pPr>
            <w:r>
              <w:t xml:space="preserve">Ejecutar frontend, API y Floci con Docker Compose</w:t>
            </w:r>
          </w:p>
        </w:tc>
      </w:tr>
      <w:tr>
        <w:tc>
          <w:tcPr>
            <w:tcW w:type="dxa" w:w="1900"/>
            <w:tcMar>
              <w:top w:type="dxa" w:w="90"/>
              <w:left w:type="dxa" w:w="130"/>
              <w:bottom w:type="dxa" w:w="90"/>
              <w:right w:type="dxa" w:w="130"/>
            </w:tcMar>
            <w:vAlign w:val="center"/>
          </w:tcPr>
          <w:p>
            <w:pPr>
              <w:spacing w:after="0"/>
            </w:pPr>
            <w:r>
              <w:t xml:space="preserve">Terraform</w:t>
            </w:r>
          </w:p>
        </w:tc>
        <w:tc>
          <w:tcPr>
            <w:tcW w:type="dxa" w:w="1400"/>
            <w:tcMar>
              <w:top w:type="dxa" w:w="90"/>
              <w:left w:type="dxa" w:w="130"/>
              <w:bottom w:type="dxa" w:w="90"/>
              <w:right w:type="dxa" w:w="130"/>
            </w:tcMar>
            <w:vAlign w:val="center"/>
          </w:tcPr>
          <w:p>
            <w:pPr>
              <w:spacing w:after="0"/>
            </w:pPr>
            <w:r>
              <w:t xml:space="preserve">1.10+</w:t>
            </w:r>
          </w:p>
        </w:tc>
        <w:tc>
          <w:tcPr>
            <w:tcW w:type="dxa" w:w="6060"/>
            <w:tcMar>
              <w:top w:type="dxa" w:w="90"/>
              <w:left w:type="dxa" w:w="130"/>
              <w:bottom w:type="dxa" w:w="90"/>
              <w:right w:type="dxa" w:w="130"/>
            </w:tcMar>
            <w:vAlign w:val="center"/>
          </w:tcPr>
          <w:p>
            <w:pPr>
              <w:spacing w:after="0"/>
            </w:pPr>
            <w:r>
              <w:t xml:space="preserve">Crear la tabla DynamoDB y la red segura en Floci</w:t>
            </w:r>
          </w:p>
        </w:tc>
      </w:tr>
      <w:tr>
        <w:tc>
          <w:tcPr>
            <w:tcW w:type="dxa" w:w="1900"/>
            <w:tcMar>
              <w:top w:type="dxa" w:w="90"/>
              <w:left w:type="dxa" w:w="130"/>
              <w:bottom w:type="dxa" w:w="90"/>
              <w:right w:type="dxa" w:w="130"/>
            </w:tcMar>
            <w:vAlign w:val="center"/>
          </w:tcPr>
          <w:p>
            <w:pPr>
              <w:spacing w:after="0"/>
            </w:pPr>
            <w:r>
              <w:t xml:space="preserve">AWS CLI</w:t>
            </w:r>
          </w:p>
        </w:tc>
        <w:tc>
          <w:tcPr>
            <w:tcW w:type="dxa" w:w="1400"/>
            <w:tcMar>
              <w:top w:type="dxa" w:w="90"/>
              <w:left w:type="dxa" w:w="130"/>
              <w:bottom w:type="dxa" w:w="90"/>
              <w:right w:type="dxa" w:w="130"/>
            </w:tcMar>
            <w:vAlign w:val="center"/>
          </w:tcPr>
          <w:p>
            <w:pPr>
              <w:spacing w:after="0"/>
            </w:pPr>
            <w:r>
              <w:t xml:space="preserve">v2</w:t>
            </w:r>
          </w:p>
        </w:tc>
        <w:tc>
          <w:tcPr>
            <w:tcW w:type="dxa" w:w="6060"/>
            <w:tcMar>
              <w:top w:type="dxa" w:w="90"/>
              <w:left w:type="dxa" w:w="130"/>
              <w:bottom w:type="dxa" w:w="90"/>
              <w:right w:type="dxa" w:w="130"/>
            </w:tcMar>
            <w:vAlign w:val="center"/>
          </w:tcPr>
          <w:p>
            <w:pPr>
              <w:spacing w:after="0"/>
            </w:pPr>
            <w:r>
              <w:t xml:space="preserve">Verificar la infraestructura y simular datos contra el endpoint local</w:t>
            </w:r>
          </w:p>
        </w:tc>
      </w:tr>
    </w:tbl>
    <w:p>
      <w:pPr>
        <w:spacing w:after="60"/>
      </w:pPr>
      <w:r>
        <w:t xml:space="preserve"/>
      </w:r>
    </w:p>
    <w:p>
      <w:pPr>
        <w:spacing w:after="120"/>
      </w:pPr>
      <w:r>
        <w:rPr>
          <w:b/>
          <w:bCs/>
        </w:rPr>
        <w:t xml:space="preserve">Nota: </w:t>
      </w:r>
      <w:r>
        <w:t xml:space="preserve">en la Clase 1 la AWS CLI se usa solo contra Floci (</w:t>
      </w:r>
      <w:r>
        <w:rPr>
          <w:rFonts w:ascii="Consolas" w:cs="Consolas" w:eastAsia="Consolas" w:hAnsi="Consolas"/>
          <w:sz w:val="18"/>
          <w:szCs w:val="18"/>
        </w:rPr>
        <w:t xml:space="preserve">--endpoint-url http://localhost:4566</w:t>
      </w:r>
      <w:r>
        <w:t xml:space="preserve">), nunca contra AWS real.</w:t>
      </w:r>
    </w:p>
    <w:p>
      <w:pPr>
        <w:pStyle w:val="Heading2"/>
      </w:pPr>
      <w:r>
        <w:t xml:space="preserve">1.3 Presupuesto de tiempo</w:t>
      </w:r>
    </w:p>
    <w:tbl>
      <w:tblPr>
        <w:tblW w:type="dxa" w:w="9360"/>
        <w:tblBorders>
          <w:top w:val="single" w:color="C9D2DC" w:sz="4"/>
          <w:left w:val="single" w:color="C9D2DC" w:sz="4"/>
          <w:bottom w:val="single" w:color="C9D2DC" w:sz="4"/>
          <w:right w:val="single" w:color="C9D2DC" w:sz="4"/>
          <w:insideH w:val="single" w:color="D9DEE5" w:sz="4"/>
          <w:insideV w:val="single" w:color="D9DEE5" w:sz="4"/>
        </w:tblBorders>
      </w:tblPr>
      <w:tblGrid>
        <w:gridCol w:w="7660"/>
        <w:gridCol w:w="1700"/>
      </w:tblGrid>
      <w:tr>
        <w:trPr>
          <w:tblHeader/>
        </w:trPr>
        <w:tc>
          <w:tcPr>
            <w:tcW w:type="dxa" w:w="7660"/>
            <w:shd w:fill="E8EDF3" w:color="auto" w:val="clear"/>
            <w:tcMar>
              <w:top w:type="dxa" w:w="90"/>
              <w:left w:type="dxa" w:w="130"/>
              <w:bottom w:type="dxa" w:w="90"/>
              <w:right w:type="dxa" w:w="130"/>
            </w:tcMar>
            <w:vAlign w:val="center"/>
          </w:tcPr>
          <w:p>
            <w:pPr>
              <w:spacing w:after="0"/>
            </w:pPr>
            <w:r>
              <w:rPr>
                <w:b/>
                <w:bCs/>
                <w:color w:val="1F3864"/>
              </w:rPr>
              <w:t xml:space="preserve">Bloque</w:t>
            </w:r>
          </w:p>
        </w:tc>
        <w:tc>
          <w:tcPr>
            <w:tcW w:type="dxa" w:w="1700"/>
            <w:shd w:fill="E8EDF3" w:color="auto" w:val="clear"/>
            <w:tcMar>
              <w:top w:type="dxa" w:w="90"/>
              <w:left w:type="dxa" w:w="130"/>
              <w:bottom w:type="dxa" w:w="90"/>
              <w:right w:type="dxa" w:w="130"/>
            </w:tcMar>
            <w:vAlign w:val="center"/>
          </w:tcPr>
          <w:p>
            <w:pPr>
              <w:spacing w:after="0"/>
            </w:pPr>
            <w:r>
              <w:rPr>
                <w:b/>
                <w:bCs/>
                <w:color w:val="1F3864"/>
              </w:rPr>
              <w:t xml:space="preserve">Min</w:t>
            </w:r>
          </w:p>
        </w:tc>
      </w:tr>
      <w:tr>
        <w:tc>
          <w:tcPr>
            <w:tcW w:type="dxa" w:w="7660"/>
            <w:tcMar>
              <w:top w:type="dxa" w:w="90"/>
              <w:left w:type="dxa" w:w="130"/>
              <w:bottom w:type="dxa" w:w="90"/>
              <w:right w:type="dxa" w:w="130"/>
            </w:tcMar>
            <w:vAlign w:val="center"/>
          </w:tcPr>
          <w:p>
            <w:pPr>
              <w:spacing w:after="0"/>
            </w:pPr>
            <w:r>
              <w:t xml:space="preserve">Contexto del producto</w:t>
            </w:r>
          </w:p>
        </w:tc>
        <w:tc>
          <w:tcPr>
            <w:tcW w:type="dxa" w:w="1700"/>
            <w:tcMar>
              <w:top w:type="dxa" w:w="90"/>
              <w:left w:type="dxa" w:w="130"/>
              <w:bottom w:type="dxa" w:w="90"/>
              <w:right w:type="dxa" w:w="130"/>
            </w:tcMar>
            <w:vAlign w:val="center"/>
          </w:tcPr>
          <w:p>
            <w:pPr>
              <w:spacing w:after="0"/>
            </w:pPr>
            <w:r>
              <w:t xml:space="preserve">10</w:t>
            </w:r>
          </w:p>
        </w:tc>
      </w:tr>
      <w:tr>
        <w:tc>
          <w:tcPr>
            <w:tcW w:type="dxa" w:w="7660"/>
            <w:tcMar>
              <w:top w:type="dxa" w:w="90"/>
              <w:left w:type="dxa" w:w="130"/>
              <w:bottom w:type="dxa" w:w="90"/>
              <w:right w:type="dxa" w:w="130"/>
            </w:tcMar>
            <w:vAlign w:val="center"/>
          </w:tcPr>
          <w:p>
            <w:pPr>
              <w:spacing w:after="0"/>
            </w:pPr>
            <w:r>
              <w:t xml:space="preserve">Recorrido de la arquitectura</w:t>
            </w:r>
          </w:p>
        </w:tc>
        <w:tc>
          <w:tcPr>
            <w:tcW w:type="dxa" w:w="1700"/>
            <w:tcMar>
              <w:top w:type="dxa" w:w="90"/>
              <w:left w:type="dxa" w:w="130"/>
              <w:bottom w:type="dxa" w:w="90"/>
              <w:right w:type="dxa" w:w="130"/>
            </w:tcMar>
            <w:vAlign w:val="center"/>
          </w:tcPr>
          <w:p>
            <w:pPr>
              <w:spacing w:after="0"/>
            </w:pPr>
            <w:r>
              <w:t xml:space="preserve">20</w:t>
            </w:r>
          </w:p>
        </w:tc>
      </w:tr>
      <w:tr>
        <w:tc>
          <w:tcPr>
            <w:tcW w:type="dxa" w:w="7660"/>
            <w:tcMar>
              <w:top w:type="dxa" w:w="90"/>
              <w:left w:type="dxa" w:w="130"/>
              <w:bottom w:type="dxa" w:w="90"/>
              <w:right w:type="dxa" w:w="130"/>
            </w:tcMar>
            <w:vAlign w:val="center"/>
          </w:tcPr>
          <w:p>
            <w:pPr>
              <w:spacing w:after="0"/>
            </w:pPr>
            <w:r>
              <w:t xml:space="preserve">Conceptos de AWS aplicados</w:t>
            </w:r>
          </w:p>
        </w:tc>
        <w:tc>
          <w:tcPr>
            <w:tcW w:type="dxa" w:w="1700"/>
            <w:tcMar>
              <w:top w:type="dxa" w:w="90"/>
              <w:left w:type="dxa" w:w="130"/>
              <w:bottom w:type="dxa" w:w="90"/>
              <w:right w:type="dxa" w:w="130"/>
            </w:tcMar>
            <w:vAlign w:val="center"/>
          </w:tcPr>
          <w:p>
            <w:pPr>
              <w:spacing w:after="0"/>
            </w:pPr>
            <w:r>
              <w:t xml:space="preserve">15</w:t>
            </w:r>
          </w:p>
        </w:tc>
      </w:tr>
      <w:tr>
        <w:tc>
          <w:tcPr>
            <w:tcW w:type="dxa" w:w="7660"/>
            <w:tcMar>
              <w:top w:type="dxa" w:w="90"/>
              <w:left w:type="dxa" w:w="130"/>
              <w:bottom w:type="dxa" w:w="90"/>
              <w:right w:type="dxa" w:w="130"/>
            </w:tcMar>
            <w:vAlign w:val="center"/>
          </w:tcPr>
          <w:p>
            <w:pPr>
              <w:spacing w:after="0"/>
            </w:pPr>
            <w:r>
              <w:t xml:space="preserve">Demostración práctica guiada</w:t>
            </w:r>
          </w:p>
        </w:tc>
        <w:tc>
          <w:tcPr>
            <w:tcW w:type="dxa" w:w="1700"/>
            <w:tcMar>
              <w:top w:type="dxa" w:w="90"/>
              <w:left w:type="dxa" w:w="130"/>
              <w:bottom w:type="dxa" w:w="90"/>
              <w:right w:type="dxa" w:w="130"/>
            </w:tcMar>
            <w:vAlign w:val="center"/>
          </w:tcPr>
          <w:p>
            <w:pPr>
              <w:spacing w:after="0"/>
            </w:pPr>
            <w:r>
              <w:t xml:space="preserve">20</w:t>
            </w:r>
          </w:p>
        </w:tc>
      </w:tr>
      <w:tr>
        <w:tc>
          <w:tcPr>
            <w:tcW w:type="dxa" w:w="7660"/>
            <w:tcMar>
              <w:top w:type="dxa" w:w="90"/>
              <w:left w:type="dxa" w:w="130"/>
              <w:bottom w:type="dxa" w:w="90"/>
              <w:right w:type="dxa" w:w="130"/>
            </w:tcMar>
            <w:vAlign w:val="center"/>
          </w:tcPr>
          <w:p>
            <w:pPr>
              <w:spacing w:after="0"/>
            </w:pPr>
            <w:r>
              <w:t xml:space="preserve">Laboratorio de la mentee</w:t>
            </w:r>
          </w:p>
        </w:tc>
        <w:tc>
          <w:tcPr>
            <w:tcW w:type="dxa" w:w="1700"/>
            <w:tcMar>
              <w:top w:type="dxa" w:w="90"/>
              <w:left w:type="dxa" w:w="130"/>
              <w:bottom w:type="dxa" w:w="90"/>
              <w:right w:type="dxa" w:w="130"/>
            </w:tcMar>
            <w:vAlign w:val="center"/>
          </w:tcPr>
          <w:p>
            <w:pPr>
              <w:spacing w:after="0"/>
            </w:pPr>
            <w:r>
              <w:t xml:space="preserve">25</w:t>
            </w:r>
          </w:p>
        </w:tc>
      </w:tr>
      <w:tr>
        <w:tc>
          <w:tcPr>
            <w:tcW w:type="dxa" w:w="7660"/>
            <w:tcMar>
              <w:top w:type="dxa" w:w="90"/>
              <w:left w:type="dxa" w:w="130"/>
              <w:bottom w:type="dxa" w:w="90"/>
              <w:right w:type="dxa" w:w="130"/>
            </w:tcMar>
            <w:vAlign w:val="center"/>
          </w:tcPr>
          <w:p>
            <w:pPr>
              <w:spacing w:after="0"/>
            </w:pPr>
            <w:r>
              <w:t xml:space="preserve">Well-Architected y seguridad</w:t>
            </w:r>
          </w:p>
        </w:tc>
        <w:tc>
          <w:tcPr>
            <w:tcW w:type="dxa" w:w="1700"/>
            <w:tcMar>
              <w:top w:type="dxa" w:w="90"/>
              <w:left w:type="dxa" w:w="130"/>
              <w:bottom w:type="dxa" w:w="90"/>
              <w:right w:type="dxa" w:w="130"/>
            </w:tcMar>
            <w:vAlign w:val="center"/>
          </w:tcPr>
          <w:p>
            <w:pPr>
              <w:spacing w:after="0"/>
            </w:pPr>
            <w:r>
              <w:t xml:space="preserve">10</w:t>
            </w:r>
          </w:p>
        </w:tc>
      </w:tr>
      <w:tr>
        <w:tc>
          <w:tcPr>
            <w:tcW w:type="dxa" w:w="7660"/>
            <w:tcMar>
              <w:top w:type="dxa" w:w="90"/>
              <w:left w:type="dxa" w:w="130"/>
              <w:bottom w:type="dxa" w:w="90"/>
              <w:right w:type="dxa" w:w="130"/>
            </w:tcMar>
            <w:vAlign w:val="center"/>
          </w:tcPr>
          <w:p>
            <w:pPr>
              <w:spacing w:after="0"/>
            </w:pPr>
            <w:r>
              <w:t xml:space="preserve">Preguntas de cierre y tarea</w:t>
            </w:r>
          </w:p>
        </w:tc>
        <w:tc>
          <w:tcPr>
            <w:tcW w:type="dxa" w:w="1700"/>
            <w:tcMar>
              <w:top w:type="dxa" w:w="90"/>
              <w:left w:type="dxa" w:w="130"/>
              <w:bottom w:type="dxa" w:w="90"/>
              <w:right w:type="dxa" w:w="130"/>
            </w:tcMar>
            <w:vAlign w:val="center"/>
          </w:tcPr>
          <w:p>
            <w:pPr>
              <w:spacing w:after="0"/>
            </w:pPr>
            <w:r>
              <w:t xml:space="preserve">10</w:t>
            </w:r>
          </w:p>
        </w:tc>
      </w:tr>
      <w:tr>
        <w:tc>
          <w:tcPr>
            <w:tcW w:type="dxa" w:w="7660"/>
            <w:tcMar>
              <w:top w:type="dxa" w:w="90"/>
              <w:left w:type="dxa" w:w="130"/>
              <w:bottom w:type="dxa" w:w="90"/>
              <w:right w:type="dxa" w:w="130"/>
            </w:tcMar>
            <w:vAlign w:val="center"/>
          </w:tcPr>
          <w:p>
            <w:pPr>
              <w:spacing w:after="0"/>
            </w:pPr>
            <w:r>
              <w:t xml:space="preserve">Total aproximado</w:t>
            </w:r>
          </w:p>
        </w:tc>
        <w:tc>
          <w:tcPr>
            <w:tcW w:type="dxa" w:w="1700"/>
            <w:tcMar>
              <w:top w:type="dxa" w:w="90"/>
              <w:left w:type="dxa" w:w="130"/>
              <w:bottom w:type="dxa" w:w="90"/>
              <w:right w:type="dxa" w:w="130"/>
            </w:tcMar>
            <w:vAlign w:val="center"/>
          </w:tcPr>
          <w:p>
            <w:pPr>
              <w:spacing w:after="0"/>
            </w:pPr>
            <w:r>
              <w:t xml:space="preserve">110</w:t>
            </w:r>
          </w:p>
        </w:tc>
      </w:tr>
    </w:tbl>
    <w:p>
      <w:pPr>
        <w:spacing w:after="60"/>
      </w:pPr>
      <w:r>
        <w:t xml:space="preserve"/>
      </w:r>
    </w:p>
    <w:p>
      <w:pPr>
        <w:pStyle w:val="Heading2"/>
      </w:pPr>
      <w:r>
        <w:t xml:space="preserve">1.4 La secuencia pedagógica, con un ejemplo</w:t>
      </w:r>
    </w:p>
    <w:tbl>
      <w:tblPr>
        <w:tblW w:type="dxa" w:w="9360"/>
        <w:tblBorders>
          <w:top w:val="single" w:color="E4D6B0" w:sz="4"/>
          <w:left w:val="single" w:color="C9A227" w:sz="18"/>
          <w:bottom w:val="single" w:color="E4D6B0" w:sz="4"/>
          <w:right w:val="single" w:color="E4D6B0" w:sz="4"/>
          <w:insideH w:val="none"/>
          <w:insideV w:val="none"/>
        </w:tblBorders>
      </w:tblPr>
      <w:tblGrid>
        <w:gridCol w:w="9360"/>
      </w:tblGrid>
      <w:tr>
        <w:tc>
          <w:tcPr>
            <w:tcW w:type="dxa" w:w="9360"/>
            <w:shd w:fill="FBF3E2" w:color="auto" w:val="clear"/>
            <w:tcMar>
              <w:top w:type="dxa" w:w="120"/>
              <w:left w:type="dxa" w:w="200"/>
              <w:bottom w:type="dxa" w:w="120"/>
              <w:right w:type="dxa" w:w="160"/>
            </w:tcMar>
          </w:tcPr>
          <w:p>
            <w:pPr>
              <w:spacing w:after="60"/>
            </w:pPr>
            <w:r>
              <w:rPr>
                <w:b/>
                <w:bCs/>
                <w:color w:val="1F3864"/>
              </w:rPr>
              <w:t xml:space="preserve">Concepto → diagrama → ejecución → error intencional → corrección → pregunta</w:t>
            </w:r>
          </w:p>
          <w:p>
            <w:pPr>
              <w:spacing w:after="120"/>
            </w:pPr>
            <w:r>
              <w:rPr>
                <w:b/>
                <w:bCs/>
              </w:rPr>
              <w:t xml:space="preserve">Concepto. </w:t>
            </w:r>
            <w:r>
              <w:t xml:space="preserve">DynamoDB es una base de datos NoSQL totalmente administrada: no hay servidor que aprovisionar ni parchear y se paga por uso.</w:t>
            </w:r>
          </w:p>
          <w:p>
            <w:pPr>
              <w:spacing w:after="120"/>
            </w:pPr>
            <w:r>
              <w:rPr>
                <w:b/>
                <w:bCs/>
              </w:rPr>
              <w:t xml:space="preserve">Diagrama. </w:t>
            </w:r>
            <w:r>
              <w:t xml:space="preserve">La API llama al SDK de AWS v3, que habla con Floci en el puerto 4566, que emula DynamoDB y la tabla nexora-local.</w:t>
            </w:r>
          </w:p>
          <w:p>
            <w:pPr>
              <w:spacing w:after="120"/>
            </w:pPr>
            <w:r>
              <w:rPr>
                <w:b/>
                <w:bCs/>
              </w:rPr>
              <w:t xml:space="preserve">Ejecución. </w:t>
            </w:r>
            <w:r>
              <w:t xml:space="preserve">Creamos un ítem con la AWS CLI y vemos cómo el contador de clientes del dashboard sube de 0 a 1.</w:t>
            </w:r>
          </w:p>
          <w:p>
            <w:pPr>
              <w:spacing w:after="120"/>
            </w:pPr>
            <w:r>
              <w:rPr>
                <w:b/>
                <w:bCs/>
              </w:rPr>
              <w:t xml:space="preserve">Error intencional. </w:t>
            </w:r>
            <w:r>
              <w:t xml:space="preserve">Detenemos el contenedor de Floci y volvemos a pedir el dashboard: la API responde 503 INFRASTRUCTURE_UNAVAILABLE en vez de romperse.</w:t>
            </w:r>
          </w:p>
          <w:p>
            <w:pPr>
              <w:spacing w:after="120"/>
            </w:pPr>
            <w:r>
              <w:rPr>
                <w:b/>
                <w:bCs/>
              </w:rPr>
              <w:t xml:space="preserve">Corrección. </w:t>
            </w:r>
            <w:r>
              <w:t xml:space="preserve">Reiniciamos Floci y el dashboard vuelve a 200.</w:t>
            </w:r>
          </w:p>
          <w:p>
            <w:pPr>
              <w:spacing w:after="120"/>
            </w:pPr>
            <w:r>
              <w:rPr>
                <w:b/>
                <w:bCs/>
              </w:rPr>
              <w:t xml:space="preserve">Pregunta de certificación. </w:t>
            </w:r>
            <w:r>
              <w:t xml:space="preserve">¿Qué ventaja tiene DynamoDB frente a administrar una base de datos en una instancia EC2?</w:t>
            </w:r>
          </w:p>
        </w:tc>
      </w:tr>
    </w:tbl>
    <w:p>
      <w:pPr>
        <w:spacing w:after="60"/>
      </w:pPr>
      <w:r>
        <w:t xml:space="preserve"/>
      </w:r>
    </w:p>
    <w:p>
      <w:pPr>
        <w:pStyle w:val="Heading2"/>
      </w:pPr>
      <w:r>
        <w:t xml:space="preserve">1.5 Resultado esperado al terminar</w:t>
      </w:r>
    </w:p>
    <w:p>
      <w:pPr>
        <w:spacing w:after="120"/>
      </w:pPr>
      <w:r>
        <w:t xml:space="preserve">La mentee debería poder, sin ayuda:</w:t>
      </w:r>
    </w:p>
    <w:p>
      <w:pPr>
        <w:pStyle w:val="ListParagraph"/>
        <w:numPr>
          <w:ilvl w:val="0"/>
          <w:numId w:val="2"/>
        </w:numPr>
        <w:spacing w:after="60"/>
      </w:pPr>
      <w:r>
        <w:t xml:space="preserve">explicar en una frase qué es Nexora y para quién;</w:t>
      </w:r>
    </w:p>
    <w:p>
      <w:pPr>
        <w:pStyle w:val="ListParagraph"/>
        <w:numPr>
          <w:ilvl w:val="0"/>
          <w:numId w:val="2"/>
        </w:numPr>
        <w:spacing w:after="60"/>
      </w:pPr>
      <w:r>
        <w:t xml:space="preserve">levantar el proyecto en local y probar /health y /api/v1/dashboard;</w:t>
      </w:r>
    </w:p>
    <w:p>
      <w:pPr>
        <w:pStyle w:val="ListParagraph"/>
        <w:numPr>
          <w:ilvl w:val="0"/>
          <w:numId w:val="2"/>
        </w:numPr>
        <w:spacing w:after="60"/>
      </w:pPr>
      <w:r>
        <w:t xml:space="preserve">señalar en el repositorio dónde vive el frontend, la API, los contratos y la infraestructura;</w:t>
      </w:r>
    </w:p>
    <w:p>
      <w:pPr>
        <w:pStyle w:val="ListParagraph"/>
        <w:numPr>
          <w:ilvl w:val="0"/>
          <w:numId w:val="2"/>
        </w:numPr>
        <w:spacing w:after="60"/>
      </w:pPr>
      <w:r>
        <w:t xml:space="preserve">describir qué hace cada servicio AWS principal del diseño;</w:t>
      </w:r>
    </w:p>
    <w:p>
      <w:pPr>
        <w:pStyle w:val="ListParagraph"/>
        <w:numPr>
          <w:ilvl w:val="0"/>
          <w:numId w:val="2"/>
        </w:numPr>
        <w:spacing w:after="60"/>
      </w:pPr>
      <w:r>
        <w:t xml:space="preserve">explicar en qué consiste el aislamiento multi-tenant y por qué existe el prefijo TENANT#demo;</w:t>
      </w:r>
    </w:p>
    <w:p>
      <w:pPr>
        <w:pStyle w:val="ListParagraph"/>
        <w:numPr>
          <w:ilvl w:val="0"/>
          <w:numId w:val="2"/>
        </w:numPr>
        <w:spacing w:after="60"/>
      </w:pPr>
      <w:r>
        <w:t xml:space="preserve">explicar por qué Floci evita costos durante el desarrollo;</w:t>
      </w:r>
    </w:p>
    <w:p>
      <w:pPr>
        <w:pStyle w:val="ListParagraph"/>
        <w:numPr>
          <w:ilvl w:val="0"/>
          <w:numId w:val="2"/>
        </w:numPr>
        <w:spacing w:after="60"/>
      </w:pPr>
      <w:r>
        <w:t xml:space="preserve">reconocer los conceptos básicos del examen CLF-C02 que aparecieron en la sesión.</w:t>
      </w:r>
    </w:p>
    <w:p>
      <w:pPr>
        <w:pStyle w:val="Heading1"/>
      </w:pPr>
      <w:r>
        <w:t xml:space="preserve">2. Contexto del producto</w:t>
      </w:r>
    </w:p>
    <w:p>
      <w:pPr>
        <w:pStyle w:val="Lead"/>
        <w:spacing w:after="160"/>
      </w:pPr>
      <w:r>
        <w:t xml:space="preserve">Diez minutos para fijar de qué trata Nexora antes de mirar una sola línea de código.</w:t>
      </w:r>
    </w:p>
    <w:p>
      <w:pPr>
        <w:pStyle w:val="Heading2"/>
      </w:pPr>
      <w:r>
        <w:t xml:space="preserve">2.1 Qué es Nexora</w:t>
      </w:r>
    </w:p>
    <w:p>
      <w:pPr>
        <w:spacing w:after="120"/>
      </w:pPr>
      <w:r>
        <w:t xml:space="preserve">Nexora es una plataforma ERP SaaS cloud-native para pequeñas y medianas empresas. Centraliza operaciones que muchas PYMEs manejan hoy en hojas de cálculo y herramientas separadas: usuarios y roles, clientes, productos, inventario, ventas, proveedores, compras, documentos, notificaciones, reportes, auditoría y configuración.</w:t>
      </w:r>
    </w:p>
    <w:p>
      <w:pPr>
        <w:spacing w:after="120"/>
      </w:pPr>
      <w:r>
        <w:t xml:space="preserve">El acta de constitución le da un doble propósito, y los dos importan por igual:</w:t>
      </w:r>
    </w:p>
    <w:p>
      <w:pPr>
        <w:pStyle w:val="ListParagraph"/>
        <w:numPr>
          <w:ilvl w:val="0"/>
          <w:numId w:val="2"/>
        </w:numPr>
        <w:spacing w:after="60"/>
      </w:pPr>
      <w:r>
        <w:rPr>
          <w:b/>
          <w:bCs/>
        </w:rPr>
        <w:t xml:space="preserve">Propósito funcional: </w:t>
      </w:r>
      <w:r>
        <w:t xml:space="preserve">construir un ERP moderno y modular que una PYME pueda usar de verdad.</w:t>
      </w:r>
    </w:p>
    <w:p>
      <w:pPr>
        <w:pStyle w:val="ListParagraph"/>
        <w:numPr>
          <w:ilvl w:val="0"/>
          <w:numId w:val="2"/>
        </w:numPr>
        <w:spacing w:after="60"/>
      </w:pPr>
      <w:r>
        <w:rPr>
          <w:b/>
          <w:bCs/>
        </w:rPr>
        <w:t xml:space="preserve">Propósito educativo: </w:t>
      </w:r>
      <w:r>
        <w:t xml:space="preserve">usar Nexora como laboratorio para aprender arquitectura cloud y preparar la certificación AWS Cloud Practitioner con casos reales de negocio, no solo teoría.</w:t>
      </w:r>
    </w:p>
    <w:p>
      <w:pPr>
        <w:pStyle w:val="Heading2"/>
      </w:pPr>
      <w:r>
        <w:t xml:space="preserve">2.2 Qué problema resuelve</w:t>
      </w:r>
    </w:p>
    <w:p>
      <w:pPr>
        <w:spacing w:after="120"/>
      </w:pPr>
      <w:r>
        <w:t xml:space="preserve">Cuando ventas, inventario, clientes y compras viven en herramientas distintas aparecen: duplicación de información, errores de stock, baja trazabilidad, reportes difíciles de armar, procesos manuales repetitivos y poca visibilidad del negocio. Nexora unifica todo eso en una arquitectura modular.</w:t>
      </w:r>
    </w:p>
    <w:p>
      <w:pPr>
        <w:pStyle w:val="Heading2"/>
      </w:pPr>
      <w:r>
        <w:t xml:space="preserve">2.3 Qué significa SaaS y multi-tenant</w:t>
      </w:r>
    </w:p>
    <w:p>
      <w:pPr>
        <w:spacing w:after="120"/>
      </w:pPr>
      <w:r>
        <w:t xml:space="preserve">En un modelo SaaS, una sola aplicación y una sola base de código atienden a muchas empresas clientes. A cada empresa cliente se le llama tenant. La regla central es: cada tenant solo puede ver y modificar sus propios datos. A eso se le llama aislamiento multi-tenant.</w:t>
      </w:r>
    </w:p>
    <w:p>
      <w:pPr>
        <w:spacing w:after="120"/>
      </w:pPr>
      <w:r>
        <w:t xml:space="preserve">En Nexora, ese aislamiento arranca en el diseño de las claves de DynamoDB: todas las claves de partición incluyen un prefijo de tenant, por ejemplo </w:t>
      </w:r>
      <w:r>
        <w:rPr>
          <w:rFonts w:ascii="Consolas" w:cs="Consolas" w:eastAsia="Consolas" w:hAnsi="Consolas"/>
          <w:sz w:val="18"/>
          <w:szCs w:val="18"/>
        </w:rPr>
        <w:t xml:space="preserve">TENANT#demo#CUSTOMERS</w:t>
      </w:r>
      <w:r>
        <w:t xml:space="preserve">. Así, el salto futuro a multiempresa real no obliga a rediseñar cada contrato. La regla que </w:t>
      </w:r>
      <w:r>
        <w:rPr>
          <w:i/>
          <w:iCs/>
        </w:rPr>
        <w:t xml:space="preserve">impide</w:t>
      </w:r>
      <w:r>
        <w:t xml:space="preserve"> el acceso cruzado entre tenants todavía no está implementada: llegará con Cognito y la capa de repositorio (ver el roadmap).</w:t>
      </w:r>
    </w:p>
    <w:p>
      <w:pPr>
        <w:pStyle w:val="Heading2"/>
      </w:pPr>
      <w:r>
        <w:t xml:space="preserve">2.4 Qué es el MVP y qué queda fuera</w:t>
      </w:r>
    </w:p>
    <w:p>
      <w:pPr>
        <w:spacing w:after="120"/>
      </w:pPr>
      <w:r>
        <w:t xml:space="preserve">El acta describe doce módulos, ocho fases y más de veinte servicios AWS. El plan del MVP recorta eso a una sola capacidad vertical y demostrable por módulo, para no intentar aprender y construir demasiadas piezas a la vez.</w:t>
      </w:r>
    </w:p>
    <w:p>
      <w:pPr>
        <w:spacing w:after="120"/>
      </w:pPr>
      <w:r>
        <w:t xml:space="preserve">Queda explícitamente fuera del MVP: registro público, recuperación de contraseña y MFA; multiempresa real y sucursales; impuestos y facturación electrónica; varias líneas por venta o compra, devoluciones y pagos; carga binaria de documentos o imágenes; correo, SMS, push y colas de notificaciones; app móvil, tiempo real y analítica avanzada; alta disponibilidad multi-región y DR.</w:t>
      </w:r>
    </w:p>
    <w:p>
      <w:pPr>
        <w:pStyle w:val="Heading2"/>
      </w:pPr>
      <w:r>
        <w:t xml:space="preserve">2.5 Estado real hoy: fundación, no flujo completo</w:t>
      </w:r>
    </w:p>
    <w:p>
      <w:pPr>
        <w:spacing w:after="120"/>
      </w:pPr>
      <w:r>
        <w:t xml:space="preserve">El repositorio está en su primer commit. Lo que existe es la fundación reproducible del proyecto; el flujo de negocio “crear cliente → producto → compra → venta → stock” corresponde a las semanas 2 a 5 del roadmap y todavía no tiene endpoints. Conviene decirlo con claridad en clase.</w:t>
      </w:r>
    </w:p>
    <w:tbl>
      <w:tblPr>
        <w:tblW w:type="dxa" w:w="9360"/>
        <w:tblBorders>
          <w:top w:val="single" w:color="C9D2DC" w:sz="4"/>
          <w:left w:val="single" w:color="C9D2DC" w:sz="4"/>
          <w:bottom w:val="single" w:color="C9D2DC" w:sz="4"/>
          <w:right w:val="single" w:color="C9D2DC" w:sz="4"/>
          <w:insideH w:val="single" w:color="D9DEE5" w:sz="4"/>
          <w:insideV w:val="single" w:color="D9DEE5" w:sz="4"/>
        </w:tblBorders>
      </w:tblPr>
      <w:tblGrid>
        <w:gridCol w:w="1350"/>
        <w:gridCol w:w="4005"/>
        <w:gridCol w:w="4005"/>
      </w:tblGrid>
      <w:tr>
        <w:trPr>
          <w:tblHeader/>
        </w:trPr>
        <w:tc>
          <w:tcPr>
            <w:tcW w:type="dxa" w:w="1350"/>
            <w:shd w:fill="E8EDF3" w:color="auto" w:val="clear"/>
            <w:tcMar>
              <w:top w:type="dxa" w:w="90"/>
              <w:left w:type="dxa" w:w="130"/>
              <w:bottom w:type="dxa" w:w="90"/>
              <w:right w:type="dxa" w:w="130"/>
            </w:tcMar>
            <w:vAlign w:val="center"/>
          </w:tcPr>
          <w:p>
            <w:pPr>
              <w:spacing w:after="0"/>
            </w:pPr>
            <w:r>
              <w:rPr>
                <w:b/>
                <w:bCs/>
                <w:color w:val="1F3864"/>
              </w:rPr>
              <w:t xml:space="preserve">Área</w:t>
            </w:r>
          </w:p>
        </w:tc>
        <w:tc>
          <w:tcPr>
            <w:tcW w:type="dxa" w:w="4005"/>
            <w:shd w:fill="E8EDF3" w:color="auto" w:val="clear"/>
            <w:tcMar>
              <w:top w:type="dxa" w:w="90"/>
              <w:left w:type="dxa" w:w="130"/>
              <w:bottom w:type="dxa" w:w="90"/>
              <w:right w:type="dxa" w:w="130"/>
            </w:tcMar>
            <w:vAlign w:val="center"/>
          </w:tcPr>
          <w:p>
            <w:pPr>
              <w:spacing w:after="0"/>
            </w:pPr>
            <w:r>
              <w:rPr>
                <w:b/>
                <w:bCs/>
                <w:color w:val="1F3864"/>
              </w:rPr>
              <w:t xml:space="preserve">Construido hoy (commit 019022a)</w:t>
            </w:r>
          </w:p>
        </w:tc>
        <w:tc>
          <w:tcPr>
            <w:tcW w:type="dxa" w:w="4005"/>
            <w:shd w:fill="E8EDF3" w:color="auto" w:val="clear"/>
            <w:tcMar>
              <w:top w:type="dxa" w:w="90"/>
              <w:left w:type="dxa" w:w="130"/>
              <w:bottom w:type="dxa" w:w="90"/>
              <w:right w:type="dxa" w:w="130"/>
            </w:tcMar>
            <w:vAlign w:val="center"/>
          </w:tcPr>
          <w:p>
            <w:pPr>
              <w:spacing w:after="0"/>
            </w:pPr>
            <w:r>
              <w:rPr>
                <w:b/>
                <w:bCs/>
                <w:color w:val="1F3864"/>
              </w:rPr>
              <w:t xml:space="preserve">Planificado (PLAN_MVP y ROADMAP)</w:t>
            </w:r>
          </w:p>
        </w:tc>
      </w:tr>
      <w:tr>
        <w:tc>
          <w:tcPr>
            <w:tcW w:type="dxa" w:w="1350"/>
            <w:tcMar>
              <w:top w:type="dxa" w:w="90"/>
              <w:left w:type="dxa" w:w="130"/>
              <w:bottom w:type="dxa" w:w="90"/>
              <w:right w:type="dxa" w:w="130"/>
            </w:tcMar>
            <w:vAlign w:val="center"/>
          </w:tcPr>
          <w:p>
            <w:pPr>
              <w:spacing w:after="0"/>
            </w:pPr>
            <w:r>
              <w:t xml:space="preserve">Frontend</w:t>
            </w:r>
          </w:p>
        </w:tc>
        <w:tc>
          <w:tcPr>
            <w:tcW w:type="dxa" w:w="4005"/>
            <w:tcMar>
              <w:top w:type="dxa" w:w="90"/>
              <w:left w:type="dxa" w:w="130"/>
              <w:bottom w:type="dxa" w:w="90"/>
              <w:right w:type="dxa" w:w="130"/>
            </w:tcMar>
            <w:vAlign w:val="center"/>
          </w:tcPr>
          <w:p>
            <w:pPr>
              <w:spacing w:after="0"/>
            </w:pPr>
            <w:r>
              <w:t xml:space="preserve">apps/web: una vista de dashboard de solo lectura que consume GET /api/v1/dashboard; estados vacíos y botones “próximamente”.</w:t>
            </w:r>
          </w:p>
        </w:tc>
        <w:tc>
          <w:tcPr>
            <w:tcW w:type="dxa" w:w="4005"/>
            <w:tcMar>
              <w:top w:type="dxa" w:w="90"/>
              <w:left w:type="dxa" w:w="130"/>
              <w:bottom w:type="dxa" w:w="90"/>
              <w:right w:type="dxa" w:w="130"/>
            </w:tcMar>
            <w:vAlign w:val="center"/>
          </w:tcPr>
          <w:p>
            <w:pPr>
              <w:spacing w:after="0"/>
            </w:pPr>
            <w:r>
              <w:t xml:space="preserve">Navegación real de clientes, productos, inventario, ventas, proveedores, auditoría y configuración (semanas 2–4).</w:t>
            </w:r>
          </w:p>
        </w:tc>
      </w:tr>
      <w:tr>
        <w:tc>
          <w:tcPr>
            <w:tcW w:type="dxa" w:w="1350"/>
            <w:tcMar>
              <w:top w:type="dxa" w:w="90"/>
              <w:left w:type="dxa" w:w="130"/>
              <w:bottom w:type="dxa" w:w="90"/>
              <w:right w:type="dxa" w:w="130"/>
            </w:tcMar>
            <w:vAlign w:val="center"/>
          </w:tcPr>
          <w:p>
            <w:pPr>
              <w:spacing w:after="0"/>
            </w:pPr>
            <w:r>
              <w:t xml:space="preserve">API</w:t>
            </w:r>
          </w:p>
        </w:tc>
        <w:tc>
          <w:tcPr>
            <w:tcW w:type="dxa" w:w="4005"/>
            <w:tcMar>
              <w:top w:type="dxa" w:w="90"/>
              <w:left w:type="dxa" w:w="130"/>
              <w:bottom w:type="dxa" w:w="90"/>
              <w:right w:type="dxa" w:w="130"/>
            </w:tcMar>
            <w:vAlign w:val="center"/>
          </w:tcPr>
          <w:p>
            <w:pPr>
              <w:spacing w:after="0"/>
            </w:pPr>
            <w:r>
              <w:t xml:space="preserve">apps/api (Fastify) con dos rutas: GET /health y GET /api/v1/dashboard, que solo cuenta particiones.</w:t>
            </w:r>
          </w:p>
        </w:tc>
        <w:tc>
          <w:tcPr>
            <w:tcW w:type="dxa" w:w="4005"/>
            <w:tcMar>
              <w:top w:type="dxa" w:w="90"/>
              <w:left w:type="dxa" w:w="130"/>
              <w:bottom w:type="dxa" w:w="90"/>
              <w:right w:type="dxa" w:w="130"/>
            </w:tcMar>
            <w:vAlign w:val="center"/>
          </w:tcPr>
          <w:p>
            <w:pPr>
              <w:spacing w:after="0"/>
            </w:pPr>
            <w:r>
              <w:t xml:space="preserve">Contratos y OpenAPI, sesión de administrador, CRUD de maestros, compra y venta transaccionales, auditoría y alertas.</w:t>
            </w:r>
          </w:p>
        </w:tc>
      </w:tr>
      <w:tr>
        <w:tc>
          <w:tcPr>
            <w:tcW w:type="dxa" w:w="1350"/>
            <w:tcMar>
              <w:top w:type="dxa" w:w="90"/>
              <w:left w:type="dxa" w:w="130"/>
              <w:bottom w:type="dxa" w:w="90"/>
              <w:right w:type="dxa" w:w="130"/>
            </w:tcMar>
            <w:vAlign w:val="center"/>
          </w:tcPr>
          <w:p>
            <w:pPr>
              <w:spacing w:after="0"/>
            </w:pPr>
            <w:r>
              <w:t xml:space="preserve">Autenticación</w:t>
            </w:r>
          </w:p>
        </w:tc>
        <w:tc>
          <w:tcPr>
            <w:tcW w:type="dxa" w:w="4005"/>
            <w:tcMar>
              <w:top w:type="dxa" w:w="90"/>
              <w:left w:type="dxa" w:w="130"/>
              <w:bottom w:type="dxa" w:w="90"/>
              <w:right w:type="dxa" w:w="130"/>
            </w:tcMar>
            <w:vAlign w:val="center"/>
          </w:tcPr>
          <w:p>
            <w:pPr>
              <w:spacing w:after="0"/>
            </w:pPr>
            <w:r>
              <w:t xml:space="preserve">Ninguna. La API de lectura es pública.</w:t>
            </w:r>
          </w:p>
        </w:tc>
        <w:tc>
          <w:tcPr>
            <w:tcW w:type="dxa" w:w="4005"/>
            <w:tcMar>
              <w:top w:type="dxa" w:w="90"/>
              <w:left w:type="dxa" w:w="130"/>
              <w:bottom w:type="dxa" w:w="90"/>
              <w:right w:type="dxa" w:w="130"/>
            </w:tcMar>
            <w:vAlign w:val="center"/>
          </w:tcPr>
          <w:p>
            <w:pPr>
              <w:spacing w:after="0"/>
            </w:pPr>
            <w:r>
              <w:t xml:space="preserve">Sesión de administrador local (semana 1) y luego Cognito por IaC con JWT/RBAC (semanas 2–3).</w:t>
            </w:r>
          </w:p>
        </w:tc>
      </w:tr>
      <w:tr>
        <w:tc>
          <w:tcPr>
            <w:tcW w:type="dxa" w:w="1350"/>
            <w:tcMar>
              <w:top w:type="dxa" w:w="90"/>
              <w:left w:type="dxa" w:w="130"/>
              <w:bottom w:type="dxa" w:w="90"/>
              <w:right w:type="dxa" w:w="130"/>
            </w:tcMar>
            <w:vAlign w:val="center"/>
          </w:tcPr>
          <w:p>
            <w:pPr>
              <w:spacing w:after="0"/>
            </w:pPr>
            <w:r>
              <w:t xml:space="preserve">Datos</w:t>
            </w:r>
          </w:p>
        </w:tc>
        <w:tc>
          <w:tcPr>
            <w:tcW w:type="dxa" w:w="4005"/>
            <w:tcMar>
              <w:top w:type="dxa" w:w="90"/>
              <w:left w:type="dxa" w:w="130"/>
              <w:bottom w:type="dxa" w:w="90"/>
              <w:right w:type="dxa" w:w="130"/>
            </w:tcMar>
            <w:vAlign w:val="center"/>
          </w:tcPr>
          <w:p>
            <w:pPr>
              <w:spacing w:after="0"/>
            </w:pPr>
            <w:r>
              <w:t xml:space="preserve">DynamoDB nexora-local (PK/SK) emulada en Floci.</w:t>
            </w:r>
          </w:p>
        </w:tc>
        <w:tc>
          <w:tcPr>
            <w:tcW w:type="dxa" w:w="4005"/>
            <w:tcMar>
              <w:top w:type="dxa" w:w="90"/>
              <w:left w:type="dxa" w:w="130"/>
              <w:bottom w:type="dxa" w:w="90"/>
              <w:right w:type="dxa" w:w="130"/>
            </w:tcMar>
            <w:vAlign w:val="center"/>
          </w:tcPr>
          <w:p>
            <w:pPr>
              <w:spacing w:after="0"/>
            </w:pPr>
            <w:r>
              <w:t xml:space="preserve">Misma tabla, patrones de acceso por entidad, transacciones e idempotencia.</w:t>
            </w:r>
          </w:p>
        </w:tc>
      </w:tr>
      <w:tr>
        <w:tc>
          <w:tcPr>
            <w:tcW w:type="dxa" w:w="1350"/>
            <w:tcMar>
              <w:top w:type="dxa" w:w="90"/>
              <w:left w:type="dxa" w:w="130"/>
              <w:bottom w:type="dxa" w:w="90"/>
              <w:right w:type="dxa" w:w="130"/>
            </w:tcMar>
            <w:vAlign w:val="center"/>
          </w:tcPr>
          <w:p>
            <w:pPr>
              <w:spacing w:after="0"/>
            </w:pPr>
            <w:r>
              <w:t xml:space="preserve">Multi-tenant</w:t>
            </w:r>
          </w:p>
        </w:tc>
        <w:tc>
          <w:tcPr>
            <w:tcW w:type="dxa" w:w="4005"/>
            <w:tcMar>
              <w:top w:type="dxa" w:w="90"/>
              <w:left w:type="dxa" w:w="130"/>
              <w:bottom w:type="dxa" w:w="90"/>
              <w:right w:type="dxa" w:w="130"/>
            </w:tcMar>
            <w:vAlign w:val="center"/>
          </w:tcPr>
          <w:p>
            <w:pPr>
              <w:spacing w:after="0"/>
            </w:pPr>
            <w:r>
              <w:t xml:space="preserve">Convención de claves TENANT#demo#… en el diseño.</w:t>
            </w:r>
          </w:p>
        </w:tc>
        <w:tc>
          <w:tcPr>
            <w:tcW w:type="dxa" w:w="4005"/>
            <w:tcMar>
              <w:top w:type="dxa" w:w="90"/>
              <w:left w:type="dxa" w:w="130"/>
              <w:bottom w:type="dxa" w:w="90"/>
              <w:right w:type="dxa" w:w="130"/>
            </w:tcMar>
            <w:vAlign w:val="center"/>
          </w:tcPr>
          <w:p>
            <w:pPr>
              <w:spacing w:after="0"/>
            </w:pPr>
            <w:r>
              <w:t xml:space="preserve">Modelo de tenant y aislamiento verificado con pruebas negativas (gate G1).</w:t>
            </w:r>
          </w:p>
        </w:tc>
      </w:tr>
      <w:tr>
        <w:tc>
          <w:tcPr>
            <w:tcW w:type="dxa" w:w="1350"/>
            <w:tcMar>
              <w:top w:type="dxa" w:w="90"/>
              <w:left w:type="dxa" w:w="130"/>
              <w:bottom w:type="dxa" w:w="90"/>
              <w:right w:type="dxa" w:w="130"/>
            </w:tcMar>
            <w:vAlign w:val="center"/>
          </w:tcPr>
          <w:p>
            <w:pPr>
              <w:spacing w:after="0"/>
            </w:pPr>
            <w:r>
              <w:t xml:space="preserve">Red</w:t>
            </w:r>
          </w:p>
        </w:tc>
        <w:tc>
          <w:tcPr>
            <w:tcW w:type="dxa" w:w="4005"/>
            <w:tcMar>
              <w:top w:type="dxa" w:w="90"/>
              <w:left w:type="dxa" w:w="130"/>
              <w:bottom w:type="dxa" w:w="90"/>
              <w:right w:type="dxa" w:w="130"/>
            </w:tcMar>
            <w:vAlign w:val="center"/>
          </w:tcPr>
          <w:p>
            <w:pPr>
              <w:spacing w:after="0"/>
            </w:pPr>
            <w:r>
              <w:t xml:space="preserve">VPC 10.20.0.0/16 emulada: 2 subredes públicas, 2 privadas, Internet Gateway y grupos de seguridad por capa.</w:t>
            </w:r>
          </w:p>
        </w:tc>
        <w:tc>
          <w:tcPr>
            <w:tcW w:type="dxa" w:w="4005"/>
            <w:tcMar>
              <w:top w:type="dxa" w:w="90"/>
              <w:left w:type="dxa" w:w="130"/>
              <w:bottom w:type="dxa" w:w="90"/>
              <w:right w:type="dxa" w:w="130"/>
            </w:tcMar>
            <w:vAlign w:val="center"/>
          </w:tcPr>
          <w:p>
            <w:pPr>
              <w:spacing w:after="0"/>
            </w:pPr>
            <w:r>
              <w:t xml:space="preserve">Runtime privado real (ECS/Fargate o Lambda en VPC); no forma parte del MVP de lectura.</w:t>
            </w:r>
          </w:p>
        </w:tc>
      </w:tr>
      <w:tr>
        <w:tc>
          <w:tcPr>
            <w:tcW w:type="dxa" w:w="1350"/>
            <w:tcMar>
              <w:top w:type="dxa" w:w="90"/>
              <w:left w:type="dxa" w:w="130"/>
              <w:bottom w:type="dxa" w:w="90"/>
              <w:right w:type="dxa" w:w="130"/>
            </w:tcMar>
            <w:vAlign w:val="center"/>
          </w:tcPr>
          <w:p>
            <w:pPr>
              <w:spacing w:after="0"/>
            </w:pPr>
            <w:r>
              <w:t xml:space="preserve">AWS real</w:t>
            </w:r>
          </w:p>
        </w:tc>
        <w:tc>
          <w:tcPr>
            <w:tcW w:type="dxa" w:w="4005"/>
            <w:tcMar>
              <w:top w:type="dxa" w:w="90"/>
              <w:left w:type="dxa" w:w="130"/>
              <w:bottom w:type="dxa" w:w="90"/>
              <w:right w:type="dxa" w:w="130"/>
            </w:tcMar>
            <w:vAlign w:val="center"/>
          </w:tcPr>
          <w:p>
            <w:pPr>
              <w:spacing w:after="0"/>
            </w:pPr>
            <w:r>
              <w:t xml:space="preserve">IaC escrito (infra/aws/app y infra/aws/bootstrap) y workflows manuales; sin desplegar.</w:t>
            </w:r>
          </w:p>
        </w:tc>
        <w:tc>
          <w:tcPr>
            <w:tcW w:type="dxa" w:w="4005"/>
            <w:tcMar>
              <w:top w:type="dxa" w:w="90"/>
              <w:left w:type="dxa" w:w="130"/>
              <w:bottom w:type="dxa" w:w="90"/>
              <w:right w:type="dxa" w:w="130"/>
            </w:tcMar>
            <w:vAlign w:val="center"/>
          </w:tcPr>
          <w:p>
            <w:pPr>
              <w:spacing w:after="0"/>
            </w:pPr>
            <w:r>
              <w:t xml:space="preserve">Despliegue de laboratorio serverless con presupuesto (semanas 9–10, gate G4).</w:t>
            </w:r>
          </w:p>
        </w:tc>
      </w:tr>
      <w:tr>
        <w:tc>
          <w:tcPr>
            <w:tcW w:type="dxa" w:w="1350"/>
            <w:tcMar>
              <w:top w:type="dxa" w:w="90"/>
              <w:left w:type="dxa" w:w="130"/>
              <w:bottom w:type="dxa" w:w="90"/>
              <w:right w:type="dxa" w:w="130"/>
            </w:tcMar>
            <w:vAlign w:val="center"/>
          </w:tcPr>
          <w:p>
            <w:pPr>
              <w:spacing w:after="0"/>
            </w:pPr>
            <w:r>
              <w:t xml:space="preserve">CI</w:t>
            </w:r>
          </w:p>
        </w:tc>
        <w:tc>
          <w:tcPr>
            <w:tcW w:type="dxa" w:w="4005"/>
            <w:tcMar>
              <w:top w:type="dxa" w:w="90"/>
              <w:left w:type="dxa" w:w="130"/>
              <w:bottom w:type="dxa" w:w="90"/>
              <w:right w:type="dxa" w:w="130"/>
            </w:tcMar>
            <w:vAlign w:val="center"/>
          </w:tcPr>
          <w:p>
            <w:pPr>
              <w:spacing w:after="0"/>
            </w:pPr>
            <w:r>
              <w:t xml:space="preserve">bun typecheck / test / build, terraform fmt y validate, y rechazo de claves AWS commiteadas.</w:t>
            </w:r>
          </w:p>
        </w:tc>
        <w:tc>
          <w:tcPr>
            <w:tcW w:type="dxa" w:w="4005"/>
            <w:tcMar>
              <w:top w:type="dxa" w:w="90"/>
              <w:left w:type="dxa" w:w="130"/>
              <w:bottom w:type="dxa" w:w="90"/>
              <w:right w:type="dxa" w:w="130"/>
            </w:tcMar>
            <w:vAlign w:val="center"/>
          </w:tcPr>
          <w:p>
            <w:pPr>
              <w:spacing w:after="0"/>
            </w:pPr>
            <w:r>
              <w:t xml:space="preserve">Pruebas E2E, de carga y de seguridad (semana 8).</w:t>
            </w:r>
          </w:p>
        </w:tc>
      </w:tr>
    </w:tbl>
    <w:p>
      <w:pPr>
        <w:pStyle w:val="Heading1"/>
      </w:pPr>
      <w:r>
        <w:t xml:space="preserve">3. Recorrido de la arquitectura</w:t>
      </w:r>
    </w:p>
    <w:p>
      <w:pPr>
        <w:pStyle w:val="Lead"/>
        <w:spacing w:after="160"/>
      </w:pPr>
      <w:r>
        <w:t xml:space="preserve">Veinte minutos. Primero la arquitectura que se ejecuta hoy en local; después la arquitectura AWS de laboratorio que ya está escrita como código pero no desplegada.</w:t>
      </w:r>
    </w:p>
    <w:p>
      <w:pPr>
        <w:pStyle w:val="Heading2"/>
      </w:pPr>
      <w:r>
        <w:t xml:space="preserve">3.1 Arquitectura local (la que se levanta en esta clase)</w:t>
      </w:r>
    </w:p>
    <w:p>
      <w:pPr>
        <w:pStyle w:val="Code"/>
        <w:shd w:fill="F3F4F6" w:color="auto" w:val="clear"/>
        <w:spacing w:after="0" w:before="90" w:line="260"/>
        <w:ind w:left="170" w:right="120"/>
      </w:pPr>
      <w:r>
        <w:rPr>
          <w:rFonts w:ascii="Consolas" w:cs="Consolas" w:eastAsia="Consolas" w:hAnsi="Consolas"/>
          <w:sz w:val="17"/>
          <w:szCs w:val="17"/>
        </w:rPr>
        <w:t xml:space="preserve">Navegador</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  v</w:t>
      </w:r>
    </w:p>
    <w:p>
      <w:pPr>
        <w:pStyle w:val="Code"/>
        <w:shd w:fill="F3F4F6" w:color="auto" w:val="clear"/>
        <w:spacing w:after="0" w:before="0" w:line="260"/>
        <w:ind w:left="170" w:right="120"/>
      </w:pPr>
      <w:r>
        <w:rPr>
          <w:rFonts w:ascii="Consolas" w:cs="Consolas" w:eastAsia="Consolas" w:hAnsi="Consolas"/>
          <w:sz w:val="17"/>
          <w:szCs w:val="17"/>
        </w:rPr>
        <w:t xml:space="preserve">Web  --  Vue 3 + Vite servido por Nginx          (contenedor  :5173 -&gt; 80)</w:t>
      </w:r>
    </w:p>
    <w:p>
      <w:pPr>
        <w:pStyle w:val="Code"/>
        <w:shd w:fill="F3F4F6" w:color="auto" w:val="clear"/>
        <w:spacing w:after="0" w:before="0" w:line="260"/>
        <w:ind w:left="170" w:right="120"/>
      </w:pPr>
      <w:r>
        <w:rPr>
          <w:rFonts w:ascii="Consolas" w:cs="Consolas" w:eastAsia="Consolas" w:hAnsi="Consolas"/>
          <w:sz w:val="17"/>
          <w:szCs w:val="17"/>
        </w:rPr>
        <w:t xml:space="preserve">  |  proxy  /api  -&gt;  api:3000</w:t>
      </w:r>
    </w:p>
    <w:p>
      <w:pPr>
        <w:pStyle w:val="Code"/>
        <w:shd w:fill="F3F4F6" w:color="auto" w:val="clear"/>
        <w:spacing w:after="0" w:before="0" w:line="260"/>
        <w:ind w:left="170" w:right="120"/>
      </w:pPr>
      <w:r>
        <w:rPr>
          <w:rFonts w:ascii="Consolas" w:cs="Consolas" w:eastAsia="Consolas" w:hAnsi="Consolas"/>
          <w:sz w:val="17"/>
          <w:szCs w:val="17"/>
        </w:rPr>
        <w:t xml:space="preserve">  v</w:t>
      </w:r>
    </w:p>
    <w:p>
      <w:pPr>
        <w:pStyle w:val="Code"/>
        <w:shd w:fill="F3F4F6" w:color="auto" w:val="clear"/>
        <w:spacing w:after="0" w:before="0" w:line="260"/>
        <w:ind w:left="170" w:right="120"/>
      </w:pPr>
      <w:r>
        <w:rPr>
          <w:rFonts w:ascii="Consolas" w:cs="Consolas" w:eastAsia="Consolas" w:hAnsi="Consolas"/>
          <w:sz w:val="17"/>
          <w:szCs w:val="17"/>
        </w:rPr>
        <w:t xml:space="preserve">API  --  Node.js + Fastify + TypeScript          (contenedor  :3000)</w:t>
      </w:r>
    </w:p>
    <w:p>
      <w:pPr>
        <w:pStyle w:val="Code"/>
        <w:shd w:fill="F3F4F6" w:color="auto" w:val="clear"/>
        <w:spacing w:after="0" w:before="0" w:line="260"/>
        <w:ind w:left="170" w:right="120"/>
      </w:pPr>
      <w:r>
        <w:rPr>
          <w:rFonts w:ascii="Consolas" w:cs="Consolas" w:eastAsia="Consolas" w:hAnsi="Consolas"/>
          <w:sz w:val="17"/>
          <w:szCs w:val="17"/>
        </w:rPr>
        <w:t xml:space="preserve">  |  AWS SDK for JavaScript v3</w:t>
      </w:r>
    </w:p>
    <w:p>
      <w:pPr>
        <w:pStyle w:val="Code"/>
        <w:shd w:fill="F3F4F6" w:color="auto" w:val="clear"/>
        <w:spacing w:after="0" w:before="0" w:line="260"/>
        <w:ind w:left="170" w:right="120"/>
      </w:pPr>
      <w:r>
        <w:rPr>
          <w:rFonts w:ascii="Consolas" w:cs="Consolas" w:eastAsia="Consolas" w:hAnsi="Consolas"/>
          <w:sz w:val="17"/>
          <w:szCs w:val="17"/>
        </w:rPr>
        <w:t xml:space="preserve">  v</w:t>
      </w:r>
    </w:p>
    <w:p>
      <w:pPr>
        <w:pStyle w:val="Code"/>
        <w:shd w:fill="F3F4F6" w:color="auto" w:val="clear"/>
        <w:spacing w:after="0" w:before="0" w:line="260"/>
        <w:ind w:left="170" w:right="120"/>
      </w:pPr>
      <w:r>
        <w:rPr>
          <w:rFonts w:ascii="Consolas" w:cs="Consolas" w:eastAsia="Consolas" w:hAnsi="Consolas"/>
          <w:sz w:val="17"/>
          <w:szCs w:val="17"/>
        </w:rPr>
        <w:t xml:space="preserve">Floci  --  emula servicios compatibles con AWS   (contenedor  :4566)</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  v</w:t>
      </w:r>
    </w:p>
    <w:p>
      <w:pPr>
        <w:pStyle w:val="Code"/>
        <w:shd w:fill="F3F4F6" w:color="auto" w:val="clear"/>
        <w:spacing w:after="0" w:before="0" w:line="260"/>
        <w:ind w:left="170" w:right="120"/>
      </w:pPr>
      <w:r>
        <w:rPr>
          <w:rFonts w:ascii="Consolas" w:cs="Consolas" w:eastAsia="Consolas" w:hAnsi="Consolas"/>
          <w:sz w:val="17"/>
          <w:szCs w:val="17"/>
        </w:rPr>
        <w:t xml:space="preserve">DynamoDB emulada  --  tabla  nexora-local  (PK, SK)</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Red VPC emulada:  10.20.0.0/16 ; 2 subredes publicas ; 2 privadas ;</w:t>
      </w:r>
    </w:p>
    <w:p>
      <w:pPr>
        <w:pStyle w:val="Code"/>
        <w:shd w:fill="F3F4F6" w:color="auto" w:val="clear"/>
        <w:spacing w:after="170" w:before="0" w:line="260"/>
        <w:ind w:left="170" w:right="120"/>
      </w:pPr>
      <w:r>
        <w:rPr>
          <w:rFonts w:ascii="Consolas" w:cs="Consolas" w:eastAsia="Consolas" w:hAnsi="Consolas"/>
          <w:sz w:val="17"/>
          <w:szCs w:val="17"/>
        </w:rPr>
        <w:t xml:space="preserve">                  Internet Gateway ; grupos de seguridad edge y application</w:t>
      </w:r>
    </w:p>
    <w:p>
      <w:pPr>
        <w:spacing w:after="120"/>
      </w:pPr>
      <w:r>
        <w:t xml:space="preserve">Los tres contenedores comparten una red privada de Docker Compose. La API usa </w:t>
      </w:r>
      <w:r>
        <w:rPr>
          <w:rFonts w:ascii="Consolas" w:cs="Consolas" w:eastAsia="Consolas" w:hAnsi="Consolas"/>
          <w:sz w:val="18"/>
          <w:szCs w:val="18"/>
        </w:rPr>
        <w:t xml:space="preserve">http://floci:4566</w:t>
      </w:r>
      <w:r>
        <w:t xml:space="preserve"> desde dentro de Docker; Terraform y la AWS CLI usan </w:t>
      </w:r>
      <w:r>
        <w:rPr>
          <w:rFonts w:ascii="Consolas" w:cs="Consolas" w:eastAsia="Consolas" w:hAnsi="Consolas"/>
          <w:sz w:val="18"/>
          <w:szCs w:val="18"/>
        </w:rPr>
        <w:t xml:space="preserve">http://localhost:4566</w:t>
      </w:r>
      <w:r>
        <w:t xml:space="preserve"> desde Windows. Compose define health checks: la API no arranca hasta que Floci está sano, y la web no arranca hasta que la API responde en </w:t>
      </w:r>
      <w:r>
        <w:rPr>
          <w:rFonts w:ascii="Consolas" w:cs="Consolas" w:eastAsia="Consolas" w:hAnsi="Consolas"/>
          <w:sz w:val="18"/>
          <w:szCs w:val="18"/>
        </w:rPr>
        <w:t xml:space="preserve">/health</w:t>
      </w:r>
      <w:r>
        <w:t xml:space="preserve">.</w:t>
      </w:r>
    </w:p>
    <w:p>
      <w:pPr>
        <w:pStyle w:val="Heading2"/>
      </w:pPr>
      <w:r>
        <w:t xml:space="preserve">3.2 Arquitectura AWS de laboratorio (escrita en infra/aws, aún sin desplegar)</w:t>
      </w:r>
    </w:p>
    <w:p>
      <w:pPr>
        <w:pStyle w:val="Code"/>
        <w:shd w:fill="F3F4F6" w:color="auto" w:val="clear"/>
        <w:spacing w:after="0" w:before="90" w:line="260"/>
        <w:ind w:left="170" w:right="120"/>
      </w:pPr>
      <w:r>
        <w:rPr>
          <w:rFonts w:ascii="Consolas" w:cs="Consolas" w:eastAsia="Consolas" w:hAnsi="Consolas"/>
          <w:sz w:val="17"/>
          <w:szCs w:val="17"/>
        </w:rPr>
        <w:t xml:space="preserve">Usuario</w:t>
      </w:r>
    </w:p>
    <w:p>
      <w:pPr>
        <w:pStyle w:val="Code"/>
        <w:shd w:fill="F3F4F6" w:color="auto" w:val="clear"/>
        <w:spacing w:after="0" w:before="0" w:line="260"/>
        <w:ind w:left="170" w:right="120"/>
      </w:pPr>
      <w:r>
        <w:rPr>
          <w:rFonts w:ascii="Consolas" w:cs="Consolas" w:eastAsia="Consolas" w:hAnsi="Consolas"/>
          <w:sz w:val="17"/>
          <w:szCs w:val="17"/>
        </w:rPr>
        <w:t xml:space="preserve">  |  HTTPS</w:t>
      </w:r>
    </w:p>
    <w:p>
      <w:pPr>
        <w:pStyle w:val="Code"/>
        <w:shd w:fill="F3F4F6" w:color="auto" w:val="clear"/>
        <w:spacing w:after="0" w:before="0" w:line="260"/>
        <w:ind w:left="170" w:right="120"/>
      </w:pPr>
      <w:r>
        <w:rPr>
          <w:rFonts w:ascii="Consolas" w:cs="Consolas" w:eastAsia="Consolas" w:hAnsi="Consolas"/>
          <w:sz w:val="17"/>
          <w:szCs w:val="17"/>
        </w:rPr>
        <w:t xml:space="preserve">  v</w:t>
      </w:r>
    </w:p>
    <w:p>
      <w:pPr>
        <w:pStyle w:val="Code"/>
        <w:shd w:fill="F3F4F6" w:color="auto" w:val="clear"/>
        <w:spacing w:after="0" w:before="0" w:line="260"/>
        <w:ind w:left="170" w:right="120"/>
      </w:pPr>
      <w:r>
        <w:rPr>
          <w:rFonts w:ascii="Consolas" w:cs="Consolas" w:eastAsia="Consolas" w:hAnsi="Consolas"/>
          <w:sz w:val="17"/>
          <w:szCs w:val="17"/>
        </w:rPr>
        <w:t xml:space="preserve">CloudFront  --  OAC, TLS 1.2+, CSP y cabeceras de seguridad, PriceClass_100</w:t>
      </w:r>
    </w:p>
    <w:p>
      <w:pPr>
        <w:pStyle w:val="Code"/>
        <w:shd w:fill="F3F4F6" w:color="auto" w:val="clear"/>
        <w:spacing w:after="0" w:before="0" w:line="260"/>
        <w:ind w:left="170" w:right="120"/>
      </w:pPr>
      <w:r>
        <w:rPr>
          <w:rFonts w:ascii="Consolas" w:cs="Consolas" w:eastAsia="Consolas" w:hAnsi="Consolas"/>
          <w:sz w:val="17"/>
          <w:szCs w:val="17"/>
        </w:rPr>
        <w:t xml:space="preserve">  |-- /*      -&gt;  S3 privado  (build de Vue; sin acceso publico; SSE-S3; versionado)</w:t>
      </w:r>
    </w:p>
    <w:p>
      <w:pPr>
        <w:pStyle w:val="Code"/>
        <w:shd w:fill="F3F4F6" w:color="auto" w:val="clear"/>
        <w:spacing w:after="0" w:before="0" w:line="260"/>
        <w:ind w:left="170" w:right="120"/>
      </w:pPr>
      <w:r>
        <w:rPr>
          <w:rFonts w:ascii="Consolas" w:cs="Consolas" w:eastAsia="Consolas" w:hAnsi="Consolas"/>
          <w:sz w:val="17"/>
          <w:szCs w:val="17"/>
        </w:rPr>
        <w:t xml:space="preserve">  \-- /api/*  -&gt;  API Gateway HTTP API   (GET /health , GET /api/v1/dashboard)</w:t>
      </w:r>
    </w:p>
    <w:p>
      <w:pPr>
        <w:pStyle w:val="Code"/>
        <w:shd w:fill="F3F4F6" w:color="auto" w:val="clear"/>
        <w:spacing w:after="0" w:before="0" w:line="260"/>
        <w:ind w:left="170" w:right="120"/>
      </w:pPr>
      <w:r>
        <w:rPr>
          <w:rFonts w:ascii="Consolas" w:cs="Consolas" w:eastAsia="Consolas" w:hAnsi="Consolas"/>
          <w:sz w:val="17"/>
          <w:szCs w:val="17"/>
        </w:rPr>
        <w:t xml:space="preserve">                    |  AWS_PROXY</w:t>
      </w:r>
    </w:p>
    <w:p>
      <w:pPr>
        <w:pStyle w:val="Code"/>
        <w:shd w:fill="F3F4F6" w:color="auto" w:val="clear"/>
        <w:spacing w:after="0" w:before="0" w:line="260"/>
        <w:ind w:left="170" w:right="120"/>
      </w:pPr>
      <w:r>
        <w:rPr>
          <w:rFonts w:ascii="Consolas" w:cs="Consolas" w:eastAsia="Consolas" w:hAnsi="Consolas"/>
          <w:sz w:val="17"/>
          <w:szCs w:val="17"/>
        </w:rPr>
        <w:t xml:space="preserve">                    v</w:t>
      </w:r>
    </w:p>
    <w:p>
      <w:pPr>
        <w:pStyle w:val="Code"/>
        <w:shd w:fill="F3F4F6" w:color="auto" w:val="clear"/>
        <w:spacing w:after="0" w:before="0" w:line="260"/>
        <w:ind w:left="170" w:right="120"/>
      </w:pPr>
      <w:r>
        <w:rPr>
          <w:rFonts w:ascii="Consolas" w:cs="Consolas" w:eastAsia="Consolas" w:hAnsi="Consolas"/>
          <w:sz w:val="17"/>
          <w:szCs w:val="17"/>
        </w:rPr>
        <w:t xml:space="preserve">                Lambda   Node.js 22 ; ARM64 ; 256 MB ; timeout 10 s ; concurrencia 2</w:t>
      </w:r>
    </w:p>
    <w:p>
      <w:pPr>
        <w:pStyle w:val="Code"/>
        <w:shd w:fill="F3F4F6" w:color="auto" w:val="clear"/>
        <w:spacing w:after="0" w:before="0" w:line="260"/>
        <w:ind w:left="170" w:right="120"/>
      </w:pPr>
      <w:r>
        <w:rPr>
          <w:rFonts w:ascii="Consolas" w:cs="Consolas" w:eastAsia="Consolas" w:hAnsi="Consolas"/>
          <w:sz w:val="17"/>
          <w:szCs w:val="17"/>
        </w:rPr>
        <w:t xml:space="preserve">                    |  rol IAM de minimo privilegio</w:t>
      </w:r>
    </w:p>
    <w:p>
      <w:pPr>
        <w:pStyle w:val="Code"/>
        <w:shd w:fill="F3F4F6" w:color="auto" w:val="clear"/>
        <w:spacing w:after="0" w:before="0" w:line="260"/>
        <w:ind w:left="170" w:right="120"/>
      </w:pPr>
      <w:r>
        <w:rPr>
          <w:rFonts w:ascii="Consolas" w:cs="Consolas" w:eastAsia="Consolas" w:hAnsi="Consolas"/>
          <w:sz w:val="17"/>
          <w:szCs w:val="17"/>
        </w:rPr>
        <w:t xml:space="preserve">                    v</w:t>
      </w:r>
    </w:p>
    <w:p>
      <w:pPr>
        <w:pStyle w:val="Code"/>
        <w:shd w:fill="F3F4F6" w:color="auto" w:val="clear"/>
        <w:spacing w:after="0" w:before="0" w:line="260"/>
        <w:ind w:left="170" w:right="120"/>
      </w:pPr>
      <w:r>
        <w:rPr>
          <w:rFonts w:ascii="Consolas" w:cs="Consolas" w:eastAsia="Consolas" w:hAnsi="Consolas"/>
          <w:sz w:val="17"/>
          <w:szCs w:val="17"/>
        </w:rPr>
        <w:t xml:space="preserve">                DynamoDB   bajo demanda, cifrada por AWS</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Observabilidad y costo:  CloudWatch Logs 7 dias ; 2 alarmas ; SNS ; Budgets USD 40</w:t>
      </w:r>
    </w:p>
    <w:p>
      <w:pPr>
        <w:pStyle w:val="Code"/>
        <w:shd w:fill="F3F4F6" w:color="auto" w:val="clear"/>
        <w:spacing w:after="170" w:before="0" w:line="260"/>
        <w:ind w:left="170" w:right="120"/>
      </w:pPr>
      <w:r>
        <w:rPr>
          <w:rFonts w:ascii="Consolas" w:cs="Consolas" w:eastAsia="Consolas" w:hAnsi="Consolas"/>
          <w:sz w:val="17"/>
          <w:szCs w:val="17"/>
        </w:rPr>
        <w:t xml:space="preserve">Estado de Terraform:     bucket S3 privado, cifrado y versionado (prevent_destroy)</w:t>
      </w:r>
    </w:p>
    <w:p>
      <w:pPr>
        <w:spacing w:after="120"/>
      </w:pPr>
      <w:r>
        <w:t xml:space="preserve">Es un diseño serverless a propósito: sin EC2, sin NAT Gateway y sin balanceador, no hay cargos por capacidad ociosa. La VPC modelada en Floci no se despliega para este runtime de solo lectura; se conserva como base para una fase que de verdad necesite cómputo privado.</w:t>
      </w:r>
    </w:p>
    <w:p>
      <w:pPr>
        <w:pStyle w:val="Heading2"/>
      </w:pPr>
      <w:r>
        <w:t xml:space="preserve">3.3 Dónde está cada cosa en el repositorio</w:t>
      </w:r>
    </w:p>
    <w:tbl>
      <w:tblPr>
        <w:tblW w:type="dxa" w:w="9360"/>
        <w:tblBorders>
          <w:top w:val="single" w:color="C9D2DC" w:sz="4"/>
          <w:left w:val="single" w:color="C9D2DC" w:sz="4"/>
          <w:bottom w:val="single" w:color="C9D2DC" w:sz="4"/>
          <w:right w:val="single" w:color="C9D2DC" w:sz="4"/>
          <w:insideH w:val="single" w:color="D9DEE5" w:sz="4"/>
          <w:insideV w:val="single" w:color="D9DEE5" w:sz="4"/>
        </w:tblBorders>
      </w:tblPr>
      <w:tblGrid>
        <w:gridCol w:w="2450"/>
        <w:gridCol w:w="6910"/>
      </w:tblGrid>
      <w:tr>
        <w:trPr>
          <w:tblHeader/>
        </w:trPr>
        <w:tc>
          <w:tcPr>
            <w:tcW w:type="dxa" w:w="2450"/>
            <w:shd w:fill="E8EDF3" w:color="auto" w:val="clear"/>
            <w:tcMar>
              <w:top w:type="dxa" w:w="90"/>
              <w:left w:type="dxa" w:w="130"/>
              <w:bottom w:type="dxa" w:w="90"/>
              <w:right w:type="dxa" w:w="130"/>
            </w:tcMar>
            <w:vAlign w:val="center"/>
          </w:tcPr>
          <w:p>
            <w:pPr>
              <w:spacing w:after="0"/>
            </w:pPr>
            <w:r>
              <w:rPr>
                <w:b/>
                <w:bCs/>
                <w:color w:val="1F3864"/>
              </w:rPr>
              <w:t xml:space="preserve">Ruta</w:t>
            </w:r>
          </w:p>
        </w:tc>
        <w:tc>
          <w:tcPr>
            <w:tcW w:type="dxa" w:w="6910"/>
            <w:shd w:fill="E8EDF3" w:color="auto" w:val="clear"/>
            <w:tcMar>
              <w:top w:type="dxa" w:w="90"/>
              <w:left w:type="dxa" w:w="130"/>
              <w:bottom w:type="dxa" w:w="90"/>
              <w:right w:type="dxa" w:w="130"/>
            </w:tcMar>
            <w:vAlign w:val="center"/>
          </w:tcPr>
          <w:p>
            <w:pPr>
              <w:spacing w:after="0"/>
            </w:pPr>
            <w:r>
              <w:rPr>
                <w:b/>
                <w:bCs/>
                <w:color w:val="1F3864"/>
              </w:rPr>
              <w:t xml:space="preserve">Qué es</w:t>
            </w:r>
          </w:p>
        </w:tc>
      </w:tr>
      <w:tr>
        <w:tc>
          <w:tcPr>
            <w:tcW w:type="dxa" w:w="2450"/>
            <w:tcMar>
              <w:top w:type="dxa" w:w="90"/>
              <w:left w:type="dxa" w:w="130"/>
              <w:bottom w:type="dxa" w:w="90"/>
              <w:right w:type="dxa" w:w="130"/>
            </w:tcMar>
            <w:vAlign w:val="center"/>
          </w:tcPr>
          <w:p>
            <w:pPr>
              <w:spacing w:after="0"/>
            </w:pPr>
            <w:r>
              <w:t xml:space="preserve">apps/web/</w:t>
            </w:r>
          </w:p>
        </w:tc>
        <w:tc>
          <w:tcPr>
            <w:tcW w:type="dxa" w:w="6910"/>
            <w:tcMar>
              <w:top w:type="dxa" w:w="90"/>
              <w:left w:type="dxa" w:w="130"/>
              <w:bottom w:type="dxa" w:w="90"/>
              <w:right w:type="dxa" w:w="130"/>
            </w:tcMar>
            <w:vAlign w:val="center"/>
          </w:tcPr>
          <w:p>
            <w:pPr>
              <w:spacing w:after="0"/>
            </w:pPr>
            <w:r>
              <w:t xml:space="preserve">Frontend Vue 3 + TypeScript. src/App.vue es la vista de dashboard; vite.config.ts define el proxy /api; nginx.conf sirve el build y reenvía /api a la API.</w:t>
            </w:r>
          </w:p>
        </w:tc>
      </w:tr>
      <w:tr>
        <w:tc>
          <w:tcPr>
            <w:tcW w:type="dxa" w:w="2450"/>
            <w:tcMar>
              <w:top w:type="dxa" w:w="90"/>
              <w:left w:type="dxa" w:w="130"/>
              <w:bottom w:type="dxa" w:w="90"/>
              <w:right w:type="dxa" w:w="130"/>
            </w:tcMar>
            <w:vAlign w:val="center"/>
          </w:tcPr>
          <w:p>
            <w:pPr>
              <w:spacing w:after="0"/>
            </w:pPr>
            <w:r>
              <w:t xml:space="preserve">apps/api/src/app.ts</w:t>
            </w:r>
          </w:p>
        </w:tc>
        <w:tc>
          <w:tcPr>
            <w:tcW w:type="dxa" w:w="6910"/>
            <w:tcMar>
              <w:top w:type="dxa" w:w="90"/>
              <w:left w:type="dxa" w:w="130"/>
              <w:bottom w:type="dxa" w:w="90"/>
              <w:right w:type="dxa" w:w="130"/>
            </w:tcMar>
            <w:vAlign w:val="center"/>
          </w:tcPr>
          <w:p>
            <w:pPr>
              <w:spacing w:after="0"/>
            </w:pPr>
            <w:r>
              <w:t xml:space="preserve">Construcción de la app Fastify: CORS, ruta /health y ruta /api/v1/dashboard con manejo de error 503.</w:t>
            </w:r>
          </w:p>
        </w:tc>
      </w:tr>
      <w:tr>
        <w:tc>
          <w:tcPr>
            <w:tcW w:type="dxa" w:w="2450"/>
            <w:tcMar>
              <w:top w:type="dxa" w:w="90"/>
              <w:left w:type="dxa" w:w="130"/>
              <w:bottom w:type="dxa" w:w="90"/>
              <w:right w:type="dxa" w:w="130"/>
            </w:tcMar>
            <w:vAlign w:val="center"/>
          </w:tcPr>
          <w:p>
            <w:pPr>
              <w:spacing w:after="0"/>
            </w:pPr>
            <w:r>
              <w:t xml:space="preserve">apps/api/src/dynamo.ts</w:t>
            </w:r>
          </w:p>
        </w:tc>
        <w:tc>
          <w:tcPr>
            <w:tcW w:type="dxa" w:w="6910"/>
            <w:tcMar>
              <w:top w:type="dxa" w:w="90"/>
              <w:left w:type="dxa" w:w="130"/>
              <w:bottom w:type="dxa" w:w="90"/>
              <w:right w:type="dxa" w:w="130"/>
            </w:tcMar>
            <w:vAlign w:val="center"/>
          </w:tcPr>
          <w:p>
            <w:pPr>
              <w:spacing w:after="0"/>
            </w:pPr>
            <w:r>
              <w:t xml:space="preserve">Acceso a DynamoDB con el SDK v3: cuenta particiones con Query y Select COUNT; degrada a estado “pending” si la tabla no existe.</w:t>
            </w:r>
          </w:p>
        </w:tc>
      </w:tr>
      <w:tr>
        <w:tc>
          <w:tcPr>
            <w:tcW w:type="dxa" w:w="2450"/>
            <w:tcMar>
              <w:top w:type="dxa" w:w="90"/>
              <w:left w:type="dxa" w:w="130"/>
              <w:bottom w:type="dxa" w:w="90"/>
              <w:right w:type="dxa" w:w="130"/>
            </w:tcMar>
            <w:vAlign w:val="center"/>
          </w:tcPr>
          <w:p>
            <w:pPr>
              <w:spacing w:after="0"/>
            </w:pPr>
            <w:r>
              <w:t xml:space="preserve">apps/api/src/config.ts</w:t>
            </w:r>
          </w:p>
        </w:tc>
        <w:tc>
          <w:tcPr>
            <w:tcW w:type="dxa" w:w="6910"/>
            <w:tcMar>
              <w:top w:type="dxa" w:w="90"/>
              <w:left w:type="dxa" w:w="130"/>
              <w:bottom w:type="dxa" w:w="90"/>
              <w:right w:type="dxa" w:w="130"/>
            </w:tcMar>
            <w:vAlign w:val="center"/>
          </w:tcPr>
          <w:p>
            <w:pPr>
              <w:spacing w:after="0"/>
            </w:pPr>
            <w:r>
              <w:t xml:space="preserve">Carga y valida variables de entorno con Zod. Prohíbe claves AWS estáticas cuando APP_ENV es production.</w:t>
            </w:r>
          </w:p>
        </w:tc>
      </w:tr>
      <w:tr>
        <w:tc>
          <w:tcPr>
            <w:tcW w:type="dxa" w:w="2450"/>
            <w:tcMar>
              <w:top w:type="dxa" w:w="90"/>
              <w:left w:type="dxa" w:w="130"/>
              <w:bottom w:type="dxa" w:w="90"/>
              <w:right w:type="dxa" w:w="130"/>
            </w:tcMar>
            <w:vAlign w:val="center"/>
          </w:tcPr>
          <w:p>
            <w:pPr>
              <w:spacing w:after="0"/>
            </w:pPr>
            <w:r>
              <w:t xml:space="preserve">apps/api/src/lambda.ts</w:t>
            </w:r>
          </w:p>
        </w:tc>
        <w:tc>
          <w:tcPr>
            <w:tcW w:type="dxa" w:w="6910"/>
            <w:tcMar>
              <w:top w:type="dxa" w:w="90"/>
              <w:left w:type="dxa" w:w="130"/>
              <w:bottom w:type="dxa" w:w="90"/>
              <w:right w:type="dxa" w:w="130"/>
            </w:tcMar>
            <w:vAlign w:val="center"/>
          </w:tcPr>
          <w:p>
            <w:pPr>
              <w:spacing w:after="0"/>
            </w:pPr>
            <w:r>
              <w:t xml:space="preserve">El mismo comportamiento que la API, empaquetado como handler para API Gateway + Lambda.</w:t>
            </w:r>
          </w:p>
        </w:tc>
      </w:tr>
      <w:tr>
        <w:tc>
          <w:tcPr>
            <w:tcW w:type="dxa" w:w="2450"/>
            <w:tcMar>
              <w:top w:type="dxa" w:w="90"/>
              <w:left w:type="dxa" w:w="130"/>
              <w:bottom w:type="dxa" w:w="90"/>
              <w:right w:type="dxa" w:w="130"/>
            </w:tcMar>
            <w:vAlign w:val="center"/>
          </w:tcPr>
          <w:p>
            <w:pPr>
              <w:spacing w:after="0"/>
            </w:pPr>
            <w:r>
              <w:t xml:space="preserve">apps/api/test/app.test.ts</w:t>
            </w:r>
          </w:p>
        </w:tc>
        <w:tc>
          <w:tcPr>
            <w:tcW w:type="dxa" w:w="6910"/>
            <w:tcMar>
              <w:top w:type="dxa" w:w="90"/>
              <w:left w:type="dxa" w:w="130"/>
              <w:bottom w:type="dxa" w:w="90"/>
              <w:right w:type="dxa" w:w="130"/>
            </w:tcMar>
            <w:vAlign w:val="center"/>
          </w:tcPr>
          <w:p>
            <w:pPr>
              <w:spacing w:after="0"/>
            </w:pPr>
            <w:r>
              <w:t xml:space="preserve">Pruebas con bun:test: salud sin DynamoDB y rechazo de credenciales estáticas en producción.</w:t>
            </w:r>
          </w:p>
        </w:tc>
      </w:tr>
      <w:tr>
        <w:tc>
          <w:tcPr>
            <w:tcW w:type="dxa" w:w="2450"/>
            <w:tcMar>
              <w:top w:type="dxa" w:w="90"/>
              <w:left w:type="dxa" w:w="130"/>
              <w:bottom w:type="dxa" w:w="90"/>
              <w:right w:type="dxa" w:w="130"/>
            </w:tcMar>
            <w:vAlign w:val="center"/>
          </w:tcPr>
          <w:p>
            <w:pPr>
              <w:spacing w:after="0"/>
            </w:pPr>
            <w:r>
              <w:t xml:space="preserve">packages/contracts/</w:t>
            </w:r>
          </w:p>
        </w:tc>
        <w:tc>
          <w:tcPr>
            <w:tcW w:type="dxa" w:w="6910"/>
            <w:tcMar>
              <w:top w:type="dxa" w:w="90"/>
              <w:left w:type="dxa" w:w="130"/>
              <w:bottom w:type="dxa" w:w="90"/>
              <w:right w:type="dxa" w:w="130"/>
            </w:tcMar>
            <w:vAlign w:val="center"/>
          </w:tcPr>
          <w:p>
            <w:pPr>
              <w:spacing w:after="0"/>
            </w:pPr>
            <w:r>
              <w:t xml:space="preserve">Tipos TypeScript compartidos entre web y api: DashboardSummary y ApiHealth.</w:t>
            </w:r>
          </w:p>
        </w:tc>
      </w:tr>
      <w:tr>
        <w:tc>
          <w:tcPr>
            <w:tcW w:type="dxa" w:w="2450"/>
            <w:tcMar>
              <w:top w:type="dxa" w:w="90"/>
              <w:left w:type="dxa" w:w="130"/>
              <w:bottom w:type="dxa" w:w="90"/>
              <w:right w:type="dxa" w:w="130"/>
            </w:tcMar>
            <w:vAlign w:val="center"/>
          </w:tcPr>
          <w:p>
            <w:pPr>
              <w:spacing w:after="0"/>
            </w:pPr>
            <w:r>
              <w:t xml:space="preserve">infra/terraform/</w:t>
            </w:r>
          </w:p>
        </w:tc>
        <w:tc>
          <w:tcPr>
            <w:tcW w:type="dxa" w:w="6910"/>
            <w:tcMar>
              <w:top w:type="dxa" w:w="90"/>
              <w:left w:type="dxa" w:w="130"/>
              <w:bottom w:type="dxa" w:w="90"/>
              <w:right w:type="dxa" w:w="130"/>
            </w:tcMar>
            <w:vAlign w:val="center"/>
          </w:tcPr>
          <w:p>
            <w:pPr>
              <w:spacing w:after="0"/>
            </w:pPr>
            <w:r>
              <w:t xml:space="preserve">Infraestructura local en Floci: tabla nexora-local (main.tf) y red segura (networking.tf, security_groups.tf).</w:t>
            </w:r>
          </w:p>
        </w:tc>
      </w:tr>
      <w:tr>
        <w:tc>
          <w:tcPr>
            <w:tcW w:type="dxa" w:w="2450"/>
            <w:tcMar>
              <w:top w:type="dxa" w:w="90"/>
              <w:left w:type="dxa" w:w="130"/>
              <w:bottom w:type="dxa" w:w="90"/>
              <w:right w:type="dxa" w:w="130"/>
            </w:tcMar>
            <w:vAlign w:val="center"/>
          </w:tcPr>
          <w:p>
            <w:pPr>
              <w:spacing w:after="0"/>
            </w:pPr>
            <w:r>
              <w:t xml:space="preserve">infra/aws/bootstrap/</w:t>
            </w:r>
          </w:p>
        </w:tc>
        <w:tc>
          <w:tcPr>
            <w:tcW w:type="dxa" w:w="6910"/>
            <w:tcMar>
              <w:top w:type="dxa" w:w="90"/>
              <w:left w:type="dxa" w:w="130"/>
              <w:bottom w:type="dxa" w:w="90"/>
              <w:right w:type="dxa" w:w="130"/>
            </w:tcMar>
            <w:vAlign w:val="center"/>
          </w:tcPr>
          <w:p>
            <w:pPr>
              <w:spacing w:after="0"/>
            </w:pPr>
            <w:r>
              <w:t xml:space="preserve">Bucket S3 privado y versionado para el estado remoto de Terraform, con prevent_destroy.</w:t>
            </w:r>
          </w:p>
        </w:tc>
      </w:tr>
      <w:tr>
        <w:tc>
          <w:tcPr>
            <w:tcW w:type="dxa" w:w="2450"/>
            <w:tcMar>
              <w:top w:type="dxa" w:w="90"/>
              <w:left w:type="dxa" w:w="130"/>
              <w:bottom w:type="dxa" w:w="90"/>
              <w:right w:type="dxa" w:w="130"/>
            </w:tcMar>
            <w:vAlign w:val="center"/>
          </w:tcPr>
          <w:p>
            <w:pPr>
              <w:spacing w:after="0"/>
            </w:pPr>
            <w:r>
              <w:t xml:space="preserve">infra/aws/app/</w:t>
            </w:r>
          </w:p>
        </w:tc>
        <w:tc>
          <w:tcPr>
            <w:tcW w:type="dxa" w:w="6910"/>
            <w:tcMar>
              <w:top w:type="dxa" w:w="90"/>
              <w:left w:type="dxa" w:w="130"/>
              <w:bottom w:type="dxa" w:w="90"/>
              <w:right w:type="dxa" w:w="130"/>
            </w:tcMar>
            <w:vAlign w:val="center"/>
          </w:tcPr>
          <w:p>
            <w:pPr>
              <w:spacing w:after="0"/>
            </w:pPr>
            <w:r>
              <w:t xml:space="preserve">Runtime de laboratorio: api.tf (Lambda, API Gateway, IAM), cdn.tf (CloudFront, S3 policy), storage.tf (DynamoDB, S3 web), monitoring.tf (SNS, alarmas, Budgets).</w:t>
            </w:r>
          </w:p>
        </w:tc>
      </w:tr>
      <w:tr>
        <w:tc>
          <w:tcPr>
            <w:tcW w:type="dxa" w:w="2450"/>
            <w:tcMar>
              <w:top w:type="dxa" w:w="90"/>
              <w:left w:type="dxa" w:w="130"/>
              <w:bottom w:type="dxa" w:w="90"/>
              <w:right w:type="dxa" w:w="130"/>
            </w:tcMar>
            <w:vAlign w:val="center"/>
          </w:tcPr>
          <w:p>
            <w:pPr>
              <w:spacing w:after="0"/>
            </w:pPr>
            <w:r>
              <w:t xml:space="preserve">.github/workflows/</w:t>
            </w:r>
          </w:p>
        </w:tc>
        <w:tc>
          <w:tcPr>
            <w:tcW w:type="dxa" w:w="6910"/>
            <w:tcMar>
              <w:top w:type="dxa" w:w="90"/>
              <w:left w:type="dxa" w:w="130"/>
              <w:bottom w:type="dxa" w:w="90"/>
              <w:right w:type="dxa" w:w="130"/>
            </w:tcMar>
            <w:vAlign w:val="center"/>
          </w:tcPr>
          <w:p>
            <w:pPr>
              <w:spacing w:after="0"/>
            </w:pPr>
            <w:r>
              <w:t xml:space="preserve">ci.yml (calidad en cada push/PR) y deploy-aws-lab.yml / destroy-aws-lab.yml (manuales, con confirmación escrita).</w:t>
            </w:r>
          </w:p>
        </w:tc>
      </w:tr>
      <w:tr>
        <w:tc>
          <w:tcPr>
            <w:tcW w:type="dxa" w:w="2450"/>
            <w:tcMar>
              <w:top w:type="dxa" w:w="90"/>
              <w:left w:type="dxa" w:w="130"/>
              <w:bottom w:type="dxa" w:w="90"/>
              <w:right w:type="dxa" w:w="130"/>
            </w:tcMar>
            <w:vAlign w:val="center"/>
          </w:tcPr>
          <w:p>
            <w:pPr>
              <w:spacing w:after="0"/>
            </w:pPr>
            <w:r>
              <w:t xml:space="preserve">docs/adr/</w:t>
            </w:r>
          </w:p>
        </w:tc>
        <w:tc>
          <w:tcPr>
            <w:tcW w:type="dxa" w:w="6910"/>
            <w:tcMar>
              <w:top w:type="dxa" w:w="90"/>
              <w:left w:type="dxa" w:w="130"/>
              <w:bottom w:type="dxa" w:w="90"/>
              <w:right w:type="dxa" w:w="130"/>
            </w:tcMar>
            <w:vAlign w:val="center"/>
          </w:tcPr>
          <w:p>
            <w:pPr>
              <w:spacing w:after="0"/>
            </w:pPr>
            <w:r>
              <w:t xml:space="preserve">Decisiones de arquitectura: 0001 MVP mínimo, 0002 red segura, 0003 despliegue serverless de laboratorio.</w:t>
            </w:r>
          </w:p>
        </w:tc>
      </w:tr>
    </w:tbl>
    <w:p>
      <w:pPr>
        <w:pStyle w:val="Heading2"/>
      </w:pPr>
      <w:r>
        <w:t xml:space="preserve">3.4 Por qué servicios administrados</w:t>
      </w:r>
    </w:p>
    <w:p>
      <w:pPr>
        <w:spacing w:after="120"/>
      </w:pPr>
      <w:r>
        <w:t xml:space="preserve">El diseño prefiere servicios administrados (DynamoDB, Lambda, API Gateway, S3, CloudFront) sobre administrar máquinas. Motivos: se paga sobre todo por uso, hay menos operación (parches, escalado, disponibilidad los pone AWS) y el costo futuro es fácil de estimar. Es el mismo principio del pilar de optimización de costos de Well-Architected.</w:t>
      </w:r>
    </w:p>
    <w:p>
      <w:pPr>
        <w:pStyle w:val="Heading2"/>
      </w:pPr>
      <w:r>
        <w:t xml:space="preserve">3.5 Bun y Node.js no son lo mismo aquí</w:t>
      </w:r>
    </w:p>
    <w:p>
      <w:pPr>
        <w:spacing w:after="120"/>
      </w:pPr>
      <w:r>
        <w:t xml:space="preserve">Node.js es el runtime de ejecución del backend, tanto en el contenedor como en Lambda. Bun es el gestor de paquetes, el ejecutor de tareas y el empaquetador (bun build --target=node). Esta separación evita depender de compatibilidades particulares de Bun en un runtime administrado de AWS.</w:t>
      </w:r>
    </w:p>
    <w:p>
      <w:pPr>
        <w:pStyle w:val="Heading1"/>
      </w:pPr>
      <w:r>
        <w:t xml:space="preserve">4. Servicios AWS en Nexora — tabla de referencia</w:t>
      </w:r>
    </w:p>
    <w:p>
      <w:pPr>
        <w:pStyle w:val="Lead"/>
        <w:spacing w:after="160"/>
      </w:pPr>
      <w:r>
        <w:t xml:space="preserve">Una tabla para tener a la vista durante toda la clase. “Estado” indica si el servicio hoy se emula en local, si su infraestructura ya está escrita para el laboratorio, o si está en el backlog.</w:t>
      </w:r>
    </w:p>
    <w:tbl>
      <w:tblPr>
        <w:tblW w:type="dxa" w:w="9360"/>
        <w:tblBorders>
          <w:top w:val="single" w:color="C9D2DC" w:sz="4"/>
          <w:left w:val="single" w:color="C9D2DC" w:sz="4"/>
          <w:bottom w:val="single" w:color="C9D2DC" w:sz="4"/>
          <w:right w:val="single" w:color="C9D2DC" w:sz="4"/>
          <w:insideH w:val="single" w:color="D9DEE5" w:sz="4"/>
          <w:insideV w:val="single" w:color="D9DEE5" w:sz="4"/>
        </w:tblBorders>
      </w:tblPr>
      <w:tblGrid>
        <w:gridCol w:w="1500"/>
        <w:gridCol w:w="3760"/>
        <w:gridCol w:w="2600"/>
        <w:gridCol w:w="1500"/>
      </w:tblGrid>
      <w:tr>
        <w:trPr>
          <w:tblHeader/>
        </w:trPr>
        <w:tc>
          <w:tcPr>
            <w:tcW w:type="dxa" w:w="1500"/>
            <w:shd w:fill="E8EDF3" w:color="auto" w:val="clear"/>
            <w:tcMar>
              <w:top w:type="dxa" w:w="90"/>
              <w:left w:type="dxa" w:w="130"/>
              <w:bottom w:type="dxa" w:w="90"/>
              <w:right w:type="dxa" w:w="130"/>
            </w:tcMar>
            <w:vAlign w:val="center"/>
          </w:tcPr>
          <w:p>
            <w:pPr>
              <w:spacing w:after="0"/>
            </w:pPr>
            <w:r>
              <w:rPr>
                <w:b/>
                <w:bCs/>
                <w:color w:val="1F3864"/>
              </w:rPr>
              <w:t xml:space="preserve">Servicio</w:t>
            </w:r>
          </w:p>
        </w:tc>
        <w:tc>
          <w:tcPr>
            <w:tcW w:type="dxa" w:w="3760"/>
            <w:shd w:fill="E8EDF3" w:color="auto" w:val="clear"/>
            <w:tcMar>
              <w:top w:type="dxa" w:w="90"/>
              <w:left w:type="dxa" w:w="130"/>
              <w:bottom w:type="dxa" w:w="90"/>
              <w:right w:type="dxa" w:w="130"/>
            </w:tcMar>
            <w:vAlign w:val="center"/>
          </w:tcPr>
          <w:p>
            <w:pPr>
              <w:spacing w:after="0"/>
            </w:pPr>
            <w:r>
              <w:rPr>
                <w:b/>
                <w:bCs/>
                <w:color w:val="1F3864"/>
              </w:rPr>
              <w:t xml:space="preserve">Rol en Nexora y concepto CLF-C02</w:t>
            </w:r>
          </w:p>
        </w:tc>
        <w:tc>
          <w:tcPr>
            <w:tcW w:type="dxa" w:w="2600"/>
            <w:shd w:fill="E8EDF3" w:color="auto" w:val="clear"/>
            <w:tcMar>
              <w:top w:type="dxa" w:w="90"/>
              <w:left w:type="dxa" w:w="130"/>
              <w:bottom w:type="dxa" w:w="90"/>
              <w:right w:type="dxa" w:w="130"/>
            </w:tcMar>
            <w:vAlign w:val="center"/>
          </w:tcPr>
          <w:p>
            <w:pPr>
              <w:spacing w:after="0"/>
            </w:pPr>
            <w:r>
              <w:rPr>
                <w:b/>
                <w:bCs/>
                <w:color w:val="1F3864"/>
              </w:rPr>
              <w:t xml:space="preserve">Archivos del repo</w:t>
            </w:r>
          </w:p>
        </w:tc>
        <w:tc>
          <w:tcPr>
            <w:tcW w:type="dxa" w:w="1500"/>
            <w:shd w:fill="E8EDF3" w:color="auto" w:val="clear"/>
            <w:tcMar>
              <w:top w:type="dxa" w:w="90"/>
              <w:left w:type="dxa" w:w="130"/>
              <w:bottom w:type="dxa" w:w="90"/>
              <w:right w:type="dxa" w:w="130"/>
            </w:tcMar>
            <w:vAlign w:val="center"/>
          </w:tcPr>
          <w:p>
            <w:pPr>
              <w:spacing w:after="0"/>
            </w:pPr>
            <w:r>
              <w:rPr>
                <w:b/>
                <w:bCs/>
                <w:color w:val="1F3864"/>
              </w:rPr>
              <w:t xml:space="preserve">Estado</w:t>
            </w:r>
          </w:p>
        </w:tc>
      </w:tr>
      <w:tr>
        <w:tc>
          <w:tcPr>
            <w:tcW w:type="dxa" w:w="1500"/>
            <w:tcMar>
              <w:top w:type="dxa" w:w="90"/>
              <w:left w:type="dxa" w:w="130"/>
              <w:bottom w:type="dxa" w:w="90"/>
              <w:right w:type="dxa" w:w="130"/>
            </w:tcMar>
            <w:vAlign w:val="center"/>
          </w:tcPr>
          <w:p>
            <w:pPr>
              <w:spacing w:after="0"/>
            </w:pPr>
            <w:r>
              <w:t xml:space="preserve">DynamoDB</w:t>
            </w:r>
          </w:p>
        </w:tc>
        <w:tc>
          <w:tcPr>
            <w:tcW w:type="dxa" w:w="3760"/>
            <w:tcMar>
              <w:top w:type="dxa" w:w="90"/>
              <w:left w:type="dxa" w:w="130"/>
              <w:bottom w:type="dxa" w:w="90"/>
              <w:right w:type="dxa" w:w="130"/>
            </w:tcMar>
            <w:vAlign w:val="center"/>
          </w:tcPr>
          <w:p>
            <w:pPr>
              <w:spacing w:after="0"/>
            </w:pPr>
            <w:r>
              <w:t xml:space="preserve">Datos operativos multi-tenant con PK/SK. Base NoSQL administrada, escalado automático, pago por solicitud.</w:t>
            </w:r>
          </w:p>
        </w:tc>
        <w:tc>
          <w:tcPr>
            <w:tcW w:type="dxa" w:w="2600"/>
            <w:tcMar>
              <w:top w:type="dxa" w:w="90"/>
              <w:left w:type="dxa" w:w="130"/>
              <w:bottom w:type="dxa" w:w="90"/>
              <w:right w:type="dxa" w:w="130"/>
            </w:tcMar>
            <w:vAlign w:val="center"/>
          </w:tcPr>
          <w:p>
            <w:pPr>
              <w:spacing w:after="0"/>
            </w:pPr>
            <w:r>
              <w:t xml:space="preserve">infra/terraform/main.tf; infra/aws/app/storage.tf; apps/api/src/dynamo.ts</w:t>
            </w:r>
          </w:p>
        </w:tc>
        <w:tc>
          <w:tcPr>
            <w:tcW w:type="dxa" w:w="1500"/>
            <w:tcMar>
              <w:top w:type="dxa" w:w="90"/>
              <w:left w:type="dxa" w:w="130"/>
              <w:bottom w:type="dxa" w:w="90"/>
              <w:right w:type="dxa" w:w="130"/>
            </w:tcMar>
            <w:vAlign w:val="center"/>
          </w:tcPr>
          <w:p>
            <w:pPr>
              <w:spacing w:after="0"/>
            </w:pPr>
            <w:r>
              <w:t xml:space="preserve">Emulado en Floci; IaC de laboratorio listo</w:t>
            </w:r>
          </w:p>
        </w:tc>
      </w:tr>
      <w:tr>
        <w:tc>
          <w:tcPr>
            <w:tcW w:type="dxa" w:w="1500"/>
            <w:tcMar>
              <w:top w:type="dxa" w:w="90"/>
              <w:left w:type="dxa" w:w="130"/>
              <w:bottom w:type="dxa" w:w="90"/>
              <w:right w:type="dxa" w:w="130"/>
            </w:tcMar>
            <w:vAlign w:val="center"/>
          </w:tcPr>
          <w:p>
            <w:pPr>
              <w:spacing w:after="0"/>
            </w:pPr>
            <w:r>
              <w:t xml:space="preserve">VPC / EC2 (networking)</w:t>
            </w:r>
          </w:p>
        </w:tc>
        <w:tc>
          <w:tcPr>
            <w:tcW w:type="dxa" w:w="3760"/>
            <w:tcMar>
              <w:top w:type="dxa" w:w="90"/>
              <w:left w:type="dxa" w:w="130"/>
              <w:bottom w:type="dxa" w:w="90"/>
              <w:right w:type="dxa" w:w="130"/>
            </w:tcMar>
            <w:vAlign w:val="center"/>
          </w:tcPr>
          <w:p>
            <w:pPr>
              <w:spacing w:after="0"/>
            </w:pPr>
            <w:r>
              <w:t xml:space="preserve">Base de red segura por capas. Subredes públicas y privadas, rutas, Internet Gateway, grupos de seguridad, aislamiento.</w:t>
            </w:r>
          </w:p>
        </w:tc>
        <w:tc>
          <w:tcPr>
            <w:tcW w:type="dxa" w:w="2600"/>
            <w:tcMar>
              <w:top w:type="dxa" w:w="90"/>
              <w:left w:type="dxa" w:w="130"/>
              <w:bottom w:type="dxa" w:w="90"/>
              <w:right w:type="dxa" w:w="130"/>
            </w:tcMar>
            <w:vAlign w:val="center"/>
          </w:tcPr>
          <w:p>
            <w:pPr>
              <w:spacing w:after="0"/>
            </w:pPr>
            <w:r>
              <w:t xml:space="preserve">infra/terraform/networking.tf; security_groups.tf</w:t>
            </w:r>
          </w:p>
        </w:tc>
        <w:tc>
          <w:tcPr>
            <w:tcW w:type="dxa" w:w="1500"/>
            <w:tcMar>
              <w:top w:type="dxa" w:w="90"/>
              <w:left w:type="dxa" w:w="130"/>
              <w:bottom w:type="dxa" w:w="90"/>
              <w:right w:type="dxa" w:w="130"/>
            </w:tcMar>
            <w:vAlign w:val="center"/>
          </w:tcPr>
          <w:p>
            <w:pPr>
              <w:spacing w:after="0"/>
            </w:pPr>
            <w:r>
              <w:t xml:space="preserve">Emulado en Floci</w:t>
            </w:r>
          </w:p>
        </w:tc>
      </w:tr>
      <w:tr>
        <w:tc>
          <w:tcPr>
            <w:tcW w:type="dxa" w:w="1500"/>
            <w:tcMar>
              <w:top w:type="dxa" w:w="90"/>
              <w:left w:type="dxa" w:w="130"/>
              <w:bottom w:type="dxa" w:w="90"/>
              <w:right w:type="dxa" w:w="130"/>
            </w:tcMar>
            <w:vAlign w:val="center"/>
          </w:tcPr>
          <w:p>
            <w:pPr>
              <w:spacing w:after="0"/>
            </w:pPr>
            <w:r>
              <w:t xml:space="preserve">Lambda</w:t>
            </w:r>
          </w:p>
        </w:tc>
        <w:tc>
          <w:tcPr>
            <w:tcW w:type="dxa" w:w="3760"/>
            <w:tcMar>
              <w:top w:type="dxa" w:w="90"/>
              <w:left w:type="dxa" w:w="130"/>
              <w:bottom w:type="dxa" w:w="90"/>
              <w:right w:type="dxa" w:w="130"/>
            </w:tcMar>
            <w:vAlign w:val="center"/>
          </w:tcPr>
          <w:p>
            <w:pPr>
              <w:spacing w:after="0"/>
            </w:pPr>
            <w:r>
              <w:t xml:space="preserve">Ejecuta la API sin servidores. Cómputo serverless, pago por invocación, cold start.</w:t>
            </w:r>
          </w:p>
        </w:tc>
        <w:tc>
          <w:tcPr>
            <w:tcW w:type="dxa" w:w="2600"/>
            <w:tcMar>
              <w:top w:type="dxa" w:w="90"/>
              <w:left w:type="dxa" w:w="130"/>
              <w:bottom w:type="dxa" w:w="90"/>
              <w:right w:type="dxa" w:w="130"/>
            </w:tcMar>
            <w:vAlign w:val="center"/>
          </w:tcPr>
          <w:p>
            <w:pPr>
              <w:spacing w:after="0"/>
            </w:pPr>
            <w:r>
              <w:t xml:space="preserve">apps/api/src/lambda.ts; infra/aws/app/api.tf</w:t>
            </w:r>
          </w:p>
        </w:tc>
        <w:tc>
          <w:tcPr>
            <w:tcW w:type="dxa" w:w="1500"/>
            <w:tcMar>
              <w:top w:type="dxa" w:w="90"/>
              <w:left w:type="dxa" w:w="130"/>
              <w:bottom w:type="dxa" w:w="90"/>
              <w:right w:type="dxa" w:w="130"/>
            </w:tcMar>
            <w:vAlign w:val="center"/>
          </w:tcPr>
          <w:p>
            <w:pPr>
              <w:spacing w:after="0"/>
            </w:pPr>
            <w:r>
              <w:t xml:space="preserve">IaC de laboratorio listo</w:t>
            </w:r>
          </w:p>
        </w:tc>
      </w:tr>
      <w:tr>
        <w:tc>
          <w:tcPr>
            <w:tcW w:type="dxa" w:w="1500"/>
            <w:tcMar>
              <w:top w:type="dxa" w:w="90"/>
              <w:left w:type="dxa" w:w="130"/>
              <w:bottom w:type="dxa" w:w="90"/>
              <w:right w:type="dxa" w:w="130"/>
            </w:tcMar>
            <w:vAlign w:val="center"/>
          </w:tcPr>
          <w:p>
            <w:pPr>
              <w:spacing w:after="0"/>
            </w:pPr>
            <w:r>
              <w:t xml:space="preserve">API Gateway (HTTP API)</w:t>
            </w:r>
          </w:p>
        </w:tc>
        <w:tc>
          <w:tcPr>
            <w:tcW w:type="dxa" w:w="3760"/>
            <w:tcMar>
              <w:top w:type="dxa" w:w="90"/>
              <w:left w:type="dxa" w:w="130"/>
              <w:bottom w:type="dxa" w:w="90"/>
              <w:right w:type="dxa" w:w="130"/>
            </w:tcMar>
            <w:vAlign w:val="center"/>
          </w:tcPr>
          <w:p>
            <w:pPr>
              <w:spacing w:after="0"/>
            </w:pPr>
            <w:r>
              <w:t xml:space="preserve">Puerta de entrada HTTP de la API. Integración de aplicaciones, throttling, logs de acceso.</w:t>
            </w:r>
          </w:p>
        </w:tc>
        <w:tc>
          <w:tcPr>
            <w:tcW w:type="dxa" w:w="2600"/>
            <w:tcMar>
              <w:top w:type="dxa" w:w="90"/>
              <w:left w:type="dxa" w:w="130"/>
              <w:bottom w:type="dxa" w:w="90"/>
              <w:right w:type="dxa" w:w="130"/>
            </w:tcMar>
            <w:vAlign w:val="center"/>
          </w:tcPr>
          <w:p>
            <w:pPr>
              <w:spacing w:after="0"/>
            </w:pPr>
            <w:r>
              <w:t xml:space="preserve">infra/aws/app/api.tf</w:t>
            </w:r>
          </w:p>
        </w:tc>
        <w:tc>
          <w:tcPr>
            <w:tcW w:type="dxa" w:w="1500"/>
            <w:tcMar>
              <w:top w:type="dxa" w:w="90"/>
              <w:left w:type="dxa" w:w="130"/>
              <w:bottom w:type="dxa" w:w="90"/>
              <w:right w:type="dxa" w:w="130"/>
            </w:tcMar>
            <w:vAlign w:val="center"/>
          </w:tcPr>
          <w:p>
            <w:pPr>
              <w:spacing w:after="0"/>
            </w:pPr>
            <w:r>
              <w:t xml:space="preserve">IaC de laboratorio listo</w:t>
            </w:r>
          </w:p>
        </w:tc>
      </w:tr>
      <w:tr>
        <w:tc>
          <w:tcPr>
            <w:tcW w:type="dxa" w:w="1500"/>
            <w:tcMar>
              <w:top w:type="dxa" w:w="90"/>
              <w:left w:type="dxa" w:w="130"/>
              <w:bottom w:type="dxa" w:w="90"/>
              <w:right w:type="dxa" w:w="130"/>
            </w:tcMar>
            <w:vAlign w:val="center"/>
          </w:tcPr>
          <w:p>
            <w:pPr>
              <w:spacing w:after="0"/>
            </w:pPr>
            <w:r>
              <w:t xml:space="preserve">S3</w:t>
            </w:r>
          </w:p>
        </w:tc>
        <w:tc>
          <w:tcPr>
            <w:tcW w:type="dxa" w:w="3760"/>
            <w:tcMar>
              <w:top w:type="dxa" w:w="90"/>
              <w:left w:type="dxa" w:w="130"/>
              <w:bottom w:type="dxa" w:w="90"/>
              <w:right w:type="dxa" w:w="130"/>
            </w:tcMar>
            <w:vAlign w:val="center"/>
          </w:tcPr>
          <w:p>
            <w:pPr>
              <w:spacing w:after="0"/>
            </w:pPr>
            <w:r>
              <w:t xml:space="preserve">Web estática privada y estado de Terraform. Almacenamiento de objetos, durabilidad, cifrado, versionado.</w:t>
            </w:r>
          </w:p>
        </w:tc>
        <w:tc>
          <w:tcPr>
            <w:tcW w:type="dxa" w:w="2600"/>
            <w:tcMar>
              <w:top w:type="dxa" w:w="90"/>
              <w:left w:type="dxa" w:w="130"/>
              <w:bottom w:type="dxa" w:w="90"/>
              <w:right w:type="dxa" w:w="130"/>
            </w:tcMar>
            <w:vAlign w:val="center"/>
          </w:tcPr>
          <w:p>
            <w:pPr>
              <w:spacing w:after="0"/>
            </w:pPr>
            <w:r>
              <w:t xml:space="preserve">infra/aws/app/storage.tf; infra/aws/bootstrap/main.tf</w:t>
            </w:r>
          </w:p>
        </w:tc>
        <w:tc>
          <w:tcPr>
            <w:tcW w:type="dxa" w:w="1500"/>
            <w:tcMar>
              <w:top w:type="dxa" w:w="90"/>
              <w:left w:type="dxa" w:w="130"/>
              <w:bottom w:type="dxa" w:w="90"/>
              <w:right w:type="dxa" w:w="130"/>
            </w:tcMar>
            <w:vAlign w:val="center"/>
          </w:tcPr>
          <w:p>
            <w:pPr>
              <w:spacing w:after="0"/>
            </w:pPr>
            <w:r>
              <w:t xml:space="preserve">IaC de laboratorio listo</w:t>
            </w:r>
          </w:p>
        </w:tc>
      </w:tr>
      <w:tr>
        <w:tc>
          <w:tcPr>
            <w:tcW w:type="dxa" w:w="1500"/>
            <w:tcMar>
              <w:top w:type="dxa" w:w="90"/>
              <w:left w:type="dxa" w:w="130"/>
              <w:bottom w:type="dxa" w:w="90"/>
              <w:right w:type="dxa" w:w="130"/>
            </w:tcMar>
            <w:vAlign w:val="center"/>
          </w:tcPr>
          <w:p>
            <w:pPr>
              <w:spacing w:after="0"/>
            </w:pPr>
            <w:r>
              <w:t xml:space="preserve">CloudFront</w:t>
            </w:r>
          </w:p>
        </w:tc>
        <w:tc>
          <w:tcPr>
            <w:tcW w:type="dxa" w:w="3760"/>
            <w:tcMar>
              <w:top w:type="dxa" w:w="90"/>
              <w:left w:type="dxa" w:w="130"/>
              <w:bottom w:type="dxa" w:w="90"/>
              <w:right w:type="dxa" w:w="130"/>
            </w:tcMar>
            <w:vAlign w:val="center"/>
          </w:tcPr>
          <w:p>
            <w:pPr>
              <w:spacing w:after="0"/>
            </w:pPr>
            <w:r>
              <w:t xml:space="preserve">CDN y HTTPS para la SPA, con CSP y cabeceras de seguridad. Distribución global, edge, TLS.</w:t>
            </w:r>
          </w:p>
        </w:tc>
        <w:tc>
          <w:tcPr>
            <w:tcW w:type="dxa" w:w="2600"/>
            <w:tcMar>
              <w:top w:type="dxa" w:w="90"/>
              <w:left w:type="dxa" w:w="130"/>
              <w:bottom w:type="dxa" w:w="90"/>
              <w:right w:type="dxa" w:w="130"/>
            </w:tcMar>
            <w:vAlign w:val="center"/>
          </w:tcPr>
          <w:p>
            <w:pPr>
              <w:spacing w:after="0"/>
            </w:pPr>
            <w:r>
              <w:t xml:space="preserve">infra/aws/app/cdn.tf</w:t>
            </w:r>
          </w:p>
        </w:tc>
        <w:tc>
          <w:tcPr>
            <w:tcW w:type="dxa" w:w="1500"/>
            <w:tcMar>
              <w:top w:type="dxa" w:w="90"/>
              <w:left w:type="dxa" w:w="130"/>
              <w:bottom w:type="dxa" w:w="90"/>
              <w:right w:type="dxa" w:w="130"/>
            </w:tcMar>
            <w:vAlign w:val="center"/>
          </w:tcPr>
          <w:p>
            <w:pPr>
              <w:spacing w:after="0"/>
            </w:pPr>
            <w:r>
              <w:t xml:space="preserve">IaC de laboratorio listo</w:t>
            </w:r>
          </w:p>
        </w:tc>
      </w:tr>
      <w:tr>
        <w:tc>
          <w:tcPr>
            <w:tcW w:type="dxa" w:w="1500"/>
            <w:tcMar>
              <w:top w:type="dxa" w:w="90"/>
              <w:left w:type="dxa" w:w="130"/>
              <w:bottom w:type="dxa" w:w="90"/>
              <w:right w:type="dxa" w:w="130"/>
            </w:tcMar>
            <w:vAlign w:val="center"/>
          </w:tcPr>
          <w:p>
            <w:pPr>
              <w:spacing w:after="0"/>
            </w:pPr>
            <w:r>
              <w:t xml:space="preserve">IAM</w:t>
            </w:r>
          </w:p>
        </w:tc>
        <w:tc>
          <w:tcPr>
            <w:tcW w:type="dxa" w:w="3760"/>
            <w:tcMar>
              <w:top w:type="dxa" w:w="90"/>
              <w:left w:type="dxa" w:w="130"/>
              <w:bottom w:type="dxa" w:w="90"/>
              <w:right w:type="dxa" w:w="130"/>
            </w:tcMar>
            <w:vAlign w:val="center"/>
          </w:tcPr>
          <w:p>
            <w:pPr>
              <w:spacing w:after="0"/>
            </w:pPr>
            <w:r>
              <w:t xml:space="preserve">Rol de Lambda de mínimo privilegio (solo DescribeTable y Query sobre la tabla). Identidad, roles frente a usuarios, políticas.</w:t>
            </w:r>
          </w:p>
        </w:tc>
        <w:tc>
          <w:tcPr>
            <w:tcW w:type="dxa" w:w="2600"/>
            <w:tcMar>
              <w:top w:type="dxa" w:w="90"/>
              <w:left w:type="dxa" w:w="130"/>
              <w:bottom w:type="dxa" w:w="90"/>
              <w:right w:type="dxa" w:w="130"/>
            </w:tcMar>
            <w:vAlign w:val="center"/>
          </w:tcPr>
          <w:p>
            <w:pPr>
              <w:spacing w:after="0"/>
            </w:pPr>
            <w:r>
              <w:t xml:space="preserve">infra/aws/app/api.tf</w:t>
            </w:r>
          </w:p>
        </w:tc>
        <w:tc>
          <w:tcPr>
            <w:tcW w:type="dxa" w:w="1500"/>
            <w:tcMar>
              <w:top w:type="dxa" w:w="90"/>
              <w:left w:type="dxa" w:w="130"/>
              <w:bottom w:type="dxa" w:w="90"/>
              <w:right w:type="dxa" w:w="130"/>
            </w:tcMar>
            <w:vAlign w:val="center"/>
          </w:tcPr>
          <w:p>
            <w:pPr>
              <w:spacing w:after="0"/>
            </w:pPr>
            <w:r>
              <w:t xml:space="preserve">IaC de laboratorio listo</w:t>
            </w:r>
          </w:p>
        </w:tc>
      </w:tr>
      <w:tr>
        <w:tc>
          <w:tcPr>
            <w:tcW w:type="dxa" w:w="1500"/>
            <w:tcMar>
              <w:top w:type="dxa" w:w="90"/>
              <w:left w:type="dxa" w:w="130"/>
              <w:bottom w:type="dxa" w:w="90"/>
              <w:right w:type="dxa" w:w="130"/>
            </w:tcMar>
            <w:vAlign w:val="center"/>
          </w:tcPr>
          <w:p>
            <w:pPr>
              <w:spacing w:after="0"/>
            </w:pPr>
            <w:r>
              <w:t xml:space="preserve">CloudWatch</w:t>
            </w:r>
          </w:p>
        </w:tc>
        <w:tc>
          <w:tcPr>
            <w:tcW w:type="dxa" w:w="3760"/>
            <w:tcMar>
              <w:top w:type="dxa" w:w="90"/>
              <w:left w:type="dxa" w:w="130"/>
              <w:bottom w:type="dxa" w:w="90"/>
              <w:right w:type="dxa" w:w="130"/>
            </w:tcMar>
            <w:vAlign w:val="center"/>
          </w:tcPr>
          <w:p>
            <w:pPr>
              <w:spacing w:after="0"/>
            </w:pPr>
            <w:r>
              <w:t xml:space="preserve">Logs con retención de 7 días y dos alarmas (errores de Lambda y 5xx de API). Observabilidad, métricas, alarmas.</w:t>
            </w:r>
          </w:p>
        </w:tc>
        <w:tc>
          <w:tcPr>
            <w:tcW w:type="dxa" w:w="2600"/>
            <w:tcMar>
              <w:top w:type="dxa" w:w="90"/>
              <w:left w:type="dxa" w:w="130"/>
              <w:bottom w:type="dxa" w:w="90"/>
              <w:right w:type="dxa" w:w="130"/>
            </w:tcMar>
            <w:vAlign w:val="center"/>
          </w:tcPr>
          <w:p>
            <w:pPr>
              <w:spacing w:after="0"/>
            </w:pPr>
            <w:r>
              <w:t xml:space="preserve">infra/aws/app/api.tf; monitoring.tf</w:t>
            </w:r>
          </w:p>
        </w:tc>
        <w:tc>
          <w:tcPr>
            <w:tcW w:type="dxa" w:w="1500"/>
            <w:tcMar>
              <w:top w:type="dxa" w:w="90"/>
              <w:left w:type="dxa" w:w="130"/>
              <w:bottom w:type="dxa" w:w="90"/>
              <w:right w:type="dxa" w:w="130"/>
            </w:tcMar>
            <w:vAlign w:val="center"/>
          </w:tcPr>
          <w:p>
            <w:pPr>
              <w:spacing w:after="0"/>
            </w:pPr>
            <w:r>
              <w:t xml:space="preserve">IaC de laboratorio listo</w:t>
            </w:r>
          </w:p>
        </w:tc>
      </w:tr>
      <w:tr>
        <w:tc>
          <w:tcPr>
            <w:tcW w:type="dxa" w:w="1500"/>
            <w:tcMar>
              <w:top w:type="dxa" w:w="90"/>
              <w:left w:type="dxa" w:w="130"/>
              <w:bottom w:type="dxa" w:w="90"/>
              <w:right w:type="dxa" w:w="130"/>
            </w:tcMar>
            <w:vAlign w:val="center"/>
          </w:tcPr>
          <w:p>
            <w:pPr>
              <w:spacing w:after="0"/>
            </w:pPr>
            <w:r>
              <w:t xml:space="preserve">SNS</w:t>
            </w:r>
          </w:p>
        </w:tc>
        <w:tc>
          <w:tcPr>
            <w:tcW w:type="dxa" w:w="3760"/>
            <w:tcMar>
              <w:top w:type="dxa" w:w="90"/>
              <w:left w:type="dxa" w:w="130"/>
              <w:bottom w:type="dxa" w:w="90"/>
              <w:right w:type="dxa" w:w="130"/>
            </w:tcMar>
            <w:vAlign w:val="center"/>
          </w:tcPr>
          <w:p>
            <w:pPr>
              <w:spacing w:after="0"/>
            </w:pPr>
            <w:r>
              <w:t xml:space="preserve">Aviso por correo de alarmas y del presupuesto. Integración de aplicaciones, publicación/suscripción.</w:t>
            </w:r>
          </w:p>
        </w:tc>
        <w:tc>
          <w:tcPr>
            <w:tcW w:type="dxa" w:w="2600"/>
            <w:tcMar>
              <w:top w:type="dxa" w:w="90"/>
              <w:left w:type="dxa" w:w="130"/>
              <w:bottom w:type="dxa" w:w="90"/>
              <w:right w:type="dxa" w:w="130"/>
            </w:tcMar>
            <w:vAlign w:val="center"/>
          </w:tcPr>
          <w:p>
            <w:pPr>
              <w:spacing w:after="0"/>
            </w:pPr>
            <w:r>
              <w:t xml:space="preserve">infra/aws/app/monitoring.tf</w:t>
            </w:r>
          </w:p>
        </w:tc>
        <w:tc>
          <w:tcPr>
            <w:tcW w:type="dxa" w:w="1500"/>
            <w:tcMar>
              <w:top w:type="dxa" w:w="90"/>
              <w:left w:type="dxa" w:w="130"/>
              <w:bottom w:type="dxa" w:w="90"/>
              <w:right w:type="dxa" w:w="130"/>
            </w:tcMar>
            <w:vAlign w:val="center"/>
          </w:tcPr>
          <w:p>
            <w:pPr>
              <w:spacing w:after="0"/>
            </w:pPr>
            <w:r>
              <w:t xml:space="preserve">IaC de laboratorio listo</w:t>
            </w:r>
          </w:p>
        </w:tc>
      </w:tr>
      <w:tr>
        <w:tc>
          <w:tcPr>
            <w:tcW w:type="dxa" w:w="1500"/>
            <w:tcMar>
              <w:top w:type="dxa" w:w="90"/>
              <w:left w:type="dxa" w:w="130"/>
              <w:bottom w:type="dxa" w:w="90"/>
              <w:right w:type="dxa" w:w="130"/>
            </w:tcMar>
            <w:vAlign w:val="center"/>
          </w:tcPr>
          <w:p>
            <w:pPr>
              <w:spacing w:after="0"/>
            </w:pPr>
            <w:r>
              <w:t xml:space="preserve">AWS Budgets</w:t>
            </w:r>
          </w:p>
        </w:tc>
        <w:tc>
          <w:tcPr>
            <w:tcW w:type="dxa" w:w="3760"/>
            <w:tcMar>
              <w:top w:type="dxa" w:w="90"/>
              <w:left w:type="dxa" w:w="130"/>
              <w:bottom w:type="dxa" w:w="90"/>
              <w:right w:type="dxa" w:w="130"/>
            </w:tcMar>
            <w:vAlign w:val="center"/>
          </w:tcPr>
          <w:p>
            <w:pPr>
              <w:spacing w:after="0"/>
            </w:pPr>
            <w:r>
              <w:t xml:space="preserve">Tope mensual de USD 40 con avisos al 50 %, 80 % y 100 %. Facturación, FinOps, previsto frente a real.</w:t>
            </w:r>
          </w:p>
        </w:tc>
        <w:tc>
          <w:tcPr>
            <w:tcW w:type="dxa" w:w="2600"/>
            <w:tcMar>
              <w:top w:type="dxa" w:w="90"/>
              <w:left w:type="dxa" w:w="130"/>
              <w:bottom w:type="dxa" w:w="90"/>
              <w:right w:type="dxa" w:w="130"/>
            </w:tcMar>
            <w:vAlign w:val="center"/>
          </w:tcPr>
          <w:p>
            <w:pPr>
              <w:spacing w:after="0"/>
            </w:pPr>
            <w:r>
              <w:t xml:space="preserve">infra/aws/app/monitoring.tf</w:t>
            </w:r>
          </w:p>
        </w:tc>
        <w:tc>
          <w:tcPr>
            <w:tcW w:type="dxa" w:w="1500"/>
            <w:tcMar>
              <w:top w:type="dxa" w:w="90"/>
              <w:left w:type="dxa" w:w="130"/>
              <w:bottom w:type="dxa" w:w="90"/>
              <w:right w:type="dxa" w:w="130"/>
            </w:tcMar>
            <w:vAlign w:val="center"/>
          </w:tcPr>
          <w:p>
            <w:pPr>
              <w:spacing w:after="0"/>
            </w:pPr>
            <w:r>
              <w:t xml:space="preserve">IaC de laboratorio listo</w:t>
            </w:r>
          </w:p>
        </w:tc>
      </w:tr>
      <w:tr>
        <w:tc>
          <w:tcPr>
            <w:tcW w:type="dxa" w:w="1500"/>
            <w:tcMar>
              <w:top w:type="dxa" w:w="90"/>
              <w:left w:type="dxa" w:w="130"/>
              <w:bottom w:type="dxa" w:w="90"/>
              <w:right w:type="dxa" w:w="130"/>
            </w:tcMar>
            <w:vAlign w:val="center"/>
          </w:tcPr>
          <w:p>
            <w:pPr>
              <w:spacing w:after="0"/>
            </w:pPr>
            <w:r>
              <w:t xml:space="preserve">Cognito</w:t>
            </w:r>
          </w:p>
        </w:tc>
        <w:tc>
          <w:tcPr>
            <w:tcW w:type="dxa" w:w="3760"/>
            <w:tcMar>
              <w:top w:type="dxa" w:w="90"/>
              <w:left w:type="dxa" w:w="130"/>
              <w:bottom w:type="dxa" w:w="90"/>
              <w:right w:type="dxa" w:w="130"/>
            </w:tcMar>
            <w:vAlign w:val="center"/>
          </w:tcPr>
          <w:p>
            <w:pPr>
              <w:spacing w:after="0"/>
            </w:pPr>
            <w:r>
              <w:t xml:space="preserve">Identidad de usuarios y tenants, emisión de tokens, MFA. Identidad administrada, modelo de responsabilidad compartida.</w:t>
            </w:r>
          </w:p>
        </w:tc>
        <w:tc>
          <w:tcPr>
            <w:tcW w:type="dxa" w:w="2600"/>
            <w:tcMar>
              <w:top w:type="dxa" w:w="90"/>
              <w:left w:type="dxa" w:w="130"/>
              <w:bottom w:type="dxa" w:w="90"/>
              <w:right w:type="dxa" w:w="130"/>
            </w:tcMar>
            <w:vAlign w:val="center"/>
          </w:tcPr>
          <w:p>
            <w:pPr>
              <w:spacing w:after="0"/>
            </w:pPr>
            <w:r>
              <w:t xml:space="preserve">— (semanas 2–3)</w:t>
            </w:r>
          </w:p>
        </w:tc>
        <w:tc>
          <w:tcPr>
            <w:tcW w:type="dxa" w:w="1500"/>
            <w:tcMar>
              <w:top w:type="dxa" w:w="90"/>
              <w:left w:type="dxa" w:w="130"/>
              <w:bottom w:type="dxa" w:w="90"/>
              <w:right w:type="dxa" w:w="130"/>
            </w:tcMar>
            <w:vAlign w:val="center"/>
          </w:tcPr>
          <w:p>
            <w:pPr>
              <w:spacing w:after="0"/>
            </w:pPr>
            <w:r>
              <w:t xml:space="preserve">Backlog</w:t>
            </w:r>
          </w:p>
        </w:tc>
      </w:tr>
      <w:tr>
        <w:tc>
          <w:tcPr>
            <w:tcW w:type="dxa" w:w="1500"/>
            <w:tcMar>
              <w:top w:type="dxa" w:w="90"/>
              <w:left w:type="dxa" w:w="130"/>
              <w:bottom w:type="dxa" w:w="90"/>
              <w:right w:type="dxa" w:w="130"/>
            </w:tcMar>
            <w:vAlign w:val="center"/>
          </w:tcPr>
          <w:p>
            <w:pPr>
              <w:spacing w:after="0"/>
            </w:pPr>
            <w:r>
              <w:t xml:space="preserve">Terraform</w:t>
            </w:r>
          </w:p>
        </w:tc>
        <w:tc>
          <w:tcPr>
            <w:tcW w:type="dxa" w:w="3760"/>
            <w:tcMar>
              <w:top w:type="dxa" w:w="90"/>
              <w:left w:type="dxa" w:w="130"/>
              <w:bottom w:type="dxa" w:w="90"/>
              <w:right w:type="dxa" w:w="130"/>
            </w:tcMar>
            <w:vAlign w:val="center"/>
          </w:tcPr>
          <w:p>
            <w:pPr>
              <w:spacing w:after="0"/>
            </w:pPr>
            <w:r>
              <w:t xml:space="preserve">Infraestructura como código para todo lo anterior. Automatización, reproducibilidad.</w:t>
            </w:r>
          </w:p>
        </w:tc>
        <w:tc>
          <w:tcPr>
            <w:tcW w:type="dxa" w:w="2600"/>
            <w:tcMar>
              <w:top w:type="dxa" w:w="90"/>
              <w:left w:type="dxa" w:w="130"/>
              <w:bottom w:type="dxa" w:w="90"/>
              <w:right w:type="dxa" w:w="130"/>
            </w:tcMar>
            <w:vAlign w:val="center"/>
          </w:tcPr>
          <w:p>
            <w:pPr>
              <w:spacing w:after="0"/>
            </w:pPr>
            <w:r>
              <w:t xml:space="preserve">infra/ (completo)</w:t>
            </w:r>
          </w:p>
        </w:tc>
        <w:tc>
          <w:tcPr>
            <w:tcW w:type="dxa" w:w="1500"/>
            <w:tcMar>
              <w:top w:type="dxa" w:w="90"/>
              <w:left w:type="dxa" w:w="130"/>
              <w:bottom w:type="dxa" w:w="90"/>
              <w:right w:type="dxa" w:w="130"/>
            </w:tcMar>
            <w:vAlign w:val="center"/>
          </w:tcPr>
          <w:p>
            <w:pPr>
              <w:spacing w:after="0"/>
            </w:pPr>
            <w:r>
              <w:t xml:space="preserve">En uso (local)</w:t>
            </w:r>
          </w:p>
        </w:tc>
      </w:tr>
    </w:tbl>
    <w:p>
      <w:pPr>
        <w:pStyle w:val="Heading1"/>
      </w:pPr>
      <w:r>
        <w:t xml:space="preserve">5. Conceptos de AWS aplicados a Nexora</w:t>
      </w:r>
    </w:p>
    <w:p>
      <w:pPr>
        <w:pStyle w:val="Lead"/>
        <w:spacing w:after="160"/>
      </w:pPr>
      <w:r>
        <w:t xml:space="preserve">Quince minutos de teoría, siempre anclada a un archivo concreto del repositorio.</w:t>
      </w:r>
    </w:p>
    <w:p>
      <w:pPr>
        <w:pStyle w:val="Heading2"/>
      </w:pPr>
      <w:r>
        <w:t xml:space="preserve">5.1 Modelo de responsabilidad compartida</w:t>
      </w:r>
    </w:p>
    <w:p>
      <w:pPr>
        <w:spacing w:after="120"/>
      </w:pPr>
      <w:r>
        <w:t xml:space="preserve">AWS es responsable de la seguridad de la nube: hardware, red física, y el mantenimiento de los servicios administrados. El cliente es responsable de la seguridad en la nube: sus credenciales, sus permisos IAM, sus datos, su configuración, su código y sus reglas de red.</w:t>
      </w:r>
    </w:p>
    <w:p>
      <w:pPr>
        <w:spacing w:after="120"/>
      </w:pPr>
      <w:r>
        <w:t xml:space="preserve">En Nexora se ve así:</w:t>
      </w:r>
    </w:p>
    <w:p>
      <w:pPr>
        <w:pStyle w:val="ListParagraph"/>
        <w:numPr>
          <w:ilvl w:val="0"/>
          <w:numId w:val="2"/>
        </w:numPr>
        <w:spacing w:after="60"/>
      </w:pPr>
      <w:r>
        <w:t xml:space="preserve">las claves AWS nunca se guardan en Git; el workflow de CI falla si detecta un identificador de clave (patrón AKIA o ASIA);</w:t>
      </w:r>
    </w:p>
    <w:p>
      <w:pPr>
        <w:pStyle w:val="ListParagraph"/>
        <w:numPr>
          <w:ilvl w:val="0"/>
          <w:numId w:val="2"/>
        </w:numPr>
        <w:spacing w:after="60"/>
      </w:pPr>
      <w:r>
        <w:rPr>
          <w:rFonts w:ascii="Consolas" w:cs="Consolas" w:eastAsia="Consolas" w:hAnsi="Consolas"/>
          <w:sz w:val="18"/>
          <w:szCs w:val="18"/>
        </w:rPr>
        <w:t xml:space="preserve">config.ts</w:t>
      </w:r>
      <w:r>
        <w:t xml:space="preserve"> lanza un error si APP_ENV es production y hay claves estáticas presentes: en AWS la función debe usar su rol IAM, no claves;</w:t>
      </w:r>
    </w:p>
    <w:p>
      <w:pPr>
        <w:pStyle w:val="ListParagraph"/>
        <w:numPr>
          <w:ilvl w:val="0"/>
          <w:numId w:val="2"/>
        </w:numPr>
        <w:spacing w:after="60"/>
      </w:pPr>
      <w:r>
        <w:t xml:space="preserve">el rol de la Lambda concede solo lo mínimo; la aplicación no usa permisos de administrador.</w:t>
      </w:r>
    </w:p>
    <w:p>
      <w:pPr>
        <w:pStyle w:val="Heading2"/>
      </w:pPr>
      <w:r>
        <w:t xml:space="preserve">5.2 Regiones y Zonas de Disponibilidad</w:t>
      </w:r>
    </w:p>
    <w:p>
      <w:pPr>
        <w:spacing w:after="120"/>
      </w:pPr>
      <w:r>
        <w:t xml:space="preserve">Una Región es un área geográfica de AWS (por ejemplo </w:t>
      </w:r>
      <w:r>
        <w:rPr>
          <w:rFonts w:ascii="Consolas" w:cs="Consolas" w:eastAsia="Consolas" w:hAnsi="Consolas"/>
          <w:sz w:val="18"/>
          <w:szCs w:val="18"/>
        </w:rPr>
        <w:t xml:space="preserve">us-east-1</w:t>
      </w:r>
      <w:r>
        <w:t xml:space="preserve">). Dentro de cada Región hay varias Zonas de Disponibilidad (AZ), que son uno o más centros de datos aislados entre sí. Repartir recursos en varias AZ es la base de la alta disponibilidad.</w:t>
      </w:r>
    </w:p>
    <w:p>
      <w:pPr>
        <w:spacing w:after="120"/>
      </w:pPr>
      <w:r>
        <w:t xml:space="preserve">En </w:t>
      </w:r>
      <w:r>
        <w:rPr>
          <w:rFonts w:ascii="Consolas" w:cs="Consolas" w:eastAsia="Consolas" w:hAnsi="Consolas"/>
          <w:sz w:val="18"/>
          <w:szCs w:val="18"/>
        </w:rPr>
        <w:t xml:space="preserve">infra/terraform/variables.tf</w:t>
      </w:r>
      <w:r>
        <w:t xml:space="preserve"> las subredes se distribuyen en </w:t>
      </w:r>
      <w:r>
        <w:rPr>
          <w:rFonts w:ascii="Consolas" w:cs="Consolas" w:eastAsia="Consolas" w:hAnsi="Consolas"/>
          <w:sz w:val="18"/>
          <w:szCs w:val="18"/>
        </w:rPr>
        <w:t xml:space="preserve">us-east-1a</w:t>
      </w:r>
      <w:r>
        <w:t xml:space="preserve"> y </w:t>
      </w:r>
      <w:r>
        <w:rPr>
          <w:rFonts w:ascii="Consolas" w:cs="Consolas" w:eastAsia="Consolas" w:hAnsi="Consolas"/>
          <w:sz w:val="18"/>
          <w:szCs w:val="18"/>
        </w:rPr>
        <w:t xml:space="preserve">us-east-1b</w:t>
      </w:r>
      <w:r>
        <w:t xml:space="preserve">. Para el laboratorio se usa us-east-1, revisando siempre costo y disponibilidad del servicio.</w:t>
      </w:r>
    </w:p>
    <w:p>
      <w:pPr>
        <w:pStyle w:val="Heading2"/>
      </w:pPr>
      <w:r>
        <w:t xml:space="preserve">5.3 IAM y principio de mínimo privilegio</w:t>
      </w:r>
    </w:p>
    <w:p>
      <w:pPr>
        <w:spacing w:after="120"/>
      </w:pPr>
      <w:r>
        <w:t xml:space="preserve">IAM controla quién puede hacer qué sobre qué recurso. En </w:t>
      </w:r>
      <w:r>
        <w:rPr>
          <w:rFonts w:ascii="Consolas" w:cs="Consolas" w:eastAsia="Consolas" w:hAnsi="Consolas"/>
          <w:sz w:val="18"/>
          <w:szCs w:val="18"/>
        </w:rPr>
        <w:t xml:space="preserve">infra/aws/app/api.tf</w:t>
      </w:r>
      <w:r>
        <w:t xml:space="preserve">, la política del rol de la Lambda concede exactamente:</w:t>
      </w:r>
    </w:p>
    <w:p>
      <w:pPr>
        <w:pStyle w:val="Code"/>
        <w:shd w:fill="F3F4F6" w:color="auto" w:val="clear"/>
        <w:spacing w:after="0" w:before="90" w:line="260"/>
        <w:ind w:left="170" w:right="120"/>
      </w:pPr>
      <w:r>
        <w:rPr>
          <w:rFonts w:ascii="Consolas" w:cs="Consolas" w:eastAsia="Consolas" w:hAnsi="Consolas"/>
          <w:sz w:val="17"/>
          <w:szCs w:val="17"/>
        </w:rPr>
        <w:t xml:space="preserve">dynamodb:DescribeTable, dynamodb:Query   →  solo sobre el ARN de la tabla nexora</w:t>
      </w:r>
    </w:p>
    <w:p>
      <w:pPr>
        <w:pStyle w:val="Code"/>
        <w:shd w:fill="F3F4F6" w:color="auto" w:val="clear"/>
        <w:spacing w:after="170" w:before="0" w:line="260"/>
        <w:ind w:left="170" w:right="120"/>
      </w:pPr>
      <w:r>
        <w:rPr>
          <w:rFonts w:ascii="Consolas" w:cs="Consolas" w:eastAsia="Consolas" w:hAnsi="Consolas"/>
          <w:sz w:val="17"/>
          <w:szCs w:val="17"/>
        </w:rPr>
        <w:t xml:space="preserve">logs:CreateLogStream, logs:PutLogEvents  →  solo sobre el grupo de logs de la función</w:t>
      </w:r>
    </w:p>
    <w:p>
      <w:pPr>
        <w:spacing w:after="120"/>
      </w:pPr>
      <w:r>
        <w:t xml:space="preserve">No puede escribir en la tabla, ni leer otras tablas, ni tocar otros servicios. Un usuario o rol de aplicación nunca debería tener permisos administrativos.</w:t>
      </w:r>
    </w:p>
    <w:p>
      <w:pPr>
        <w:spacing w:after="120"/>
      </w:pPr>
      <w:r>
        <w:rPr>
          <w:b/>
          <w:bCs/>
        </w:rPr>
        <w:t xml:space="preserve">Rol frente a usuario: </w:t>
      </w:r>
      <w:r>
        <w:t xml:space="preserve">un rol IAM entrega credenciales temporales que rotan solas; no hay secreto que guardar. Por eso una aplicación en AWS usa un rol, no un usuario con claves de larga duración.</w:t>
      </w:r>
    </w:p>
    <w:p>
      <w:pPr>
        <w:pStyle w:val="Heading2"/>
      </w:pPr>
      <w:r>
        <w:t xml:space="preserve">5.4 Serverless: Lambda + API Gateway + DynamoDB</w:t>
      </w:r>
    </w:p>
    <w:p>
      <w:pPr>
        <w:spacing w:after="120"/>
      </w:pPr>
      <w:r>
        <w:t xml:space="preserve">Con estos tres servicios se puede empezar sin administrar servidores: no se aprovisiona capacidad, se paga sobre todo por uso y la operación se reduce. En el laboratorio de Nexora la Lambda usa ARM64, 256 MB, timeout de 10 segundos y concurrencia reservada de 2, que actúa como tope de costo ante un pico accidental.</w:t>
      </w:r>
    </w:p>
    <w:p>
      <w:pPr>
        <w:spacing w:after="120"/>
      </w:pPr>
      <w:r>
        <w:rPr>
          <w:b/>
          <w:bCs/>
        </w:rPr>
        <w:t xml:space="preserve">Contrapartida: </w:t>
      </w:r>
      <w:r>
        <w:t xml:space="preserve">cold starts. Para una demo de lectura son aceptables; conviene nombrarlo como concepto de examen.</w:t>
      </w:r>
    </w:p>
    <w:p>
      <w:pPr>
        <w:pStyle w:val="Heading2"/>
      </w:pPr>
      <w:r>
        <w:t xml:space="preserve">5.5 DynamoDB como base de datos administrada</w:t>
      </w:r>
    </w:p>
    <w:p>
      <w:pPr>
        <w:pStyle w:val="ListParagraph"/>
        <w:numPr>
          <w:ilvl w:val="0"/>
          <w:numId w:val="2"/>
        </w:numPr>
        <w:spacing w:after="60"/>
      </w:pPr>
      <w:r>
        <w:t xml:space="preserve">Modelo clave-valor y documento; cada ítem se identifica con clave de partición (PK) y clave de ordenación (SK).</w:t>
      </w:r>
    </w:p>
    <w:p>
      <w:pPr>
        <w:pStyle w:val="ListParagraph"/>
        <w:numPr>
          <w:ilvl w:val="0"/>
          <w:numId w:val="2"/>
        </w:numPr>
        <w:spacing w:after="60"/>
      </w:pPr>
      <w:r>
        <w:t xml:space="preserve">Facturación PAY_PER_REQUEST (bajo demanda): sin capacidad provisionada.</w:t>
      </w:r>
    </w:p>
    <w:p>
      <w:pPr>
        <w:pStyle w:val="ListParagraph"/>
        <w:numPr>
          <w:ilvl w:val="0"/>
          <w:numId w:val="2"/>
        </w:numPr>
        <w:spacing w:after="60"/>
      </w:pPr>
      <w:r>
        <w:t xml:space="preserve">En los flujos normales se usa </w:t>
      </w:r>
      <w:r>
        <w:rPr>
          <w:rFonts w:ascii="Consolas" w:cs="Consolas" w:eastAsia="Consolas" w:hAnsi="Consolas"/>
          <w:sz w:val="18"/>
          <w:szCs w:val="18"/>
        </w:rPr>
        <w:t xml:space="preserve">Query</w:t>
      </w:r>
      <w:r>
        <w:t xml:space="preserve"> por partición y paginación, nunca </w:t>
      </w:r>
      <w:r>
        <w:rPr>
          <w:rFonts w:ascii="Consolas" w:cs="Consolas" w:eastAsia="Consolas" w:hAnsi="Consolas"/>
          <w:sz w:val="18"/>
          <w:szCs w:val="18"/>
        </w:rPr>
        <w:t xml:space="preserve">Scan</w:t>
      </w:r>
      <w:r>
        <w:t xml:space="preserve">.</w:t>
      </w:r>
    </w:p>
    <w:p>
      <w:pPr>
        <w:pStyle w:val="ListParagraph"/>
        <w:numPr>
          <w:ilvl w:val="0"/>
          <w:numId w:val="2"/>
        </w:numPr>
        <w:spacing w:after="60"/>
      </w:pPr>
      <w:r>
        <w:t xml:space="preserve">Compra y venta se harán con </w:t>
      </w:r>
      <w:r>
        <w:rPr>
          <w:rFonts w:ascii="Consolas" w:cs="Consolas" w:eastAsia="Consolas" w:hAnsi="Consolas"/>
          <w:sz w:val="18"/>
          <w:szCs w:val="18"/>
        </w:rPr>
        <w:t xml:space="preserve">TransactWriteItems</w:t>
      </w:r>
      <w:r>
        <w:t xml:space="preserve"> (descuentan stock, registran movimiento, auditoría y alerta de forma atómica).</w:t>
      </w:r>
    </w:p>
    <w:p>
      <w:pPr>
        <w:pStyle w:val="ListParagraph"/>
        <w:numPr>
          <w:ilvl w:val="0"/>
          <w:numId w:val="2"/>
        </w:numPr>
        <w:spacing w:after="60"/>
      </w:pPr>
      <w:r>
        <w:t xml:space="preserve">Expresiones condicionales para impedir stock negativo y SKU duplicado.</w:t>
      </w:r>
    </w:p>
    <w:p>
      <w:pPr>
        <w:pStyle w:val="ListParagraph"/>
        <w:numPr>
          <w:ilvl w:val="0"/>
          <w:numId w:val="2"/>
        </w:numPr>
        <w:spacing w:after="60"/>
      </w:pPr>
      <w:r>
        <w:t xml:space="preserve">Frente a administrar una base de datos en EC2: no hay instancia que parchear, escalar ni respaldar manualmente; el costo sigue al uso.</w:t>
      </w:r>
    </w:p>
    <w:p>
      <w:pPr>
        <w:pStyle w:val="Heading2"/>
      </w:pPr>
      <w:r>
        <w:t xml:space="preserve">5.6 S3 y almacenamiento de objetos</w:t>
      </w:r>
    </w:p>
    <w:p>
      <w:pPr>
        <w:spacing w:after="120"/>
      </w:pPr>
      <w:r>
        <w:t xml:space="preserve">S3 guarda objetos (archivos) con muy alta durabilidad. En Nexora hay dos usos: el bucket privado con el build de Vue (solo accesible por CloudFront mediante Origin Access Control) y el bucket privado y versionado con el estado de Terraform. Ambos tienen bloqueo público total y cifrado del lado del servidor.</w:t>
      </w:r>
    </w:p>
    <w:p>
      <w:pPr>
        <w:spacing w:after="120"/>
      </w:pPr>
      <w:r>
        <w:t xml:space="preserve">Comparación típica de examen: S3 es almacenamiento de objetos por HTTP; EBS es un disco de bloques para una instancia EC2; EFS es un sistema de archivos compartido por red. Para imágenes y documentos, S3.</w:t>
      </w:r>
    </w:p>
    <w:p>
      <w:pPr>
        <w:pStyle w:val="Heading2"/>
      </w:pPr>
      <w:r>
        <w:t xml:space="preserve">5.7 CloudFront y CloudWatch</w:t>
      </w:r>
    </w:p>
    <w:p>
      <w:pPr>
        <w:pStyle w:val="ListParagraph"/>
        <w:numPr>
          <w:ilvl w:val="0"/>
          <w:numId w:val="2"/>
        </w:numPr>
        <w:spacing w:after="60"/>
      </w:pPr>
      <w:r>
        <w:rPr>
          <w:b/>
          <w:bCs/>
        </w:rPr>
        <w:t xml:space="preserve">CloudFront: </w:t>
      </w:r>
      <w:r>
        <w:t xml:space="preserve">red de distribución de contenido. Entrega la SPA por HTTPS desde ubicaciones cercanas al usuario y aplica CSP, HSTS y X-Content-Type-Options.</w:t>
      </w:r>
    </w:p>
    <w:p>
      <w:pPr>
        <w:pStyle w:val="ListParagraph"/>
        <w:numPr>
          <w:ilvl w:val="0"/>
          <w:numId w:val="2"/>
        </w:numPr>
        <w:spacing w:after="60"/>
      </w:pPr>
      <w:r>
        <w:rPr>
          <w:b/>
          <w:bCs/>
        </w:rPr>
        <w:t xml:space="preserve">CloudWatch: </w:t>
      </w:r>
      <w:r>
        <w:t xml:space="preserve">logs y métricas. En el laboratorio, retención de 7 días y dos alarmas que avisan por SNS ante errores de Lambda o respuestas 5xx de la API.</w:t>
      </w:r>
    </w:p>
    <w:p>
      <w:pPr>
        <w:pStyle w:val="Heading2"/>
      </w:pPr>
      <w:r>
        <w:t xml:space="preserve">5.8 Costos: estimar, vigilar y apagar</w:t>
      </w:r>
    </w:p>
    <w:tbl>
      <w:tblPr>
        <w:tblW w:type="dxa" w:w="9360"/>
        <w:tblBorders>
          <w:top w:val="single" w:color="C9D2DC" w:sz="4"/>
          <w:left w:val="single" w:color="C9D2DC" w:sz="4"/>
          <w:bottom w:val="single" w:color="C9D2DC" w:sz="4"/>
          <w:right w:val="single" w:color="C9D2DC" w:sz="4"/>
          <w:insideH w:val="single" w:color="D9DEE5" w:sz="4"/>
          <w:insideV w:val="single" w:color="D9DEE5" w:sz="4"/>
        </w:tblBorders>
      </w:tblPr>
      <w:tblGrid>
        <w:gridCol w:w="2200"/>
        <w:gridCol w:w="3180"/>
        <w:gridCol w:w="3980"/>
      </w:tblGrid>
      <w:tr>
        <w:trPr>
          <w:tblHeader/>
        </w:trPr>
        <w:tc>
          <w:tcPr>
            <w:tcW w:type="dxa" w:w="2200"/>
            <w:shd w:fill="E8EDF3" w:color="auto" w:val="clear"/>
            <w:tcMar>
              <w:top w:type="dxa" w:w="90"/>
              <w:left w:type="dxa" w:w="130"/>
              <w:bottom w:type="dxa" w:w="90"/>
              <w:right w:type="dxa" w:w="130"/>
            </w:tcMar>
            <w:vAlign w:val="center"/>
          </w:tcPr>
          <w:p>
            <w:pPr>
              <w:spacing w:after="0"/>
            </w:pPr>
            <w:r>
              <w:rPr>
                <w:b/>
                <w:bCs/>
                <w:color w:val="1F3864"/>
              </w:rPr>
              <w:t xml:space="preserve">Herramienta</w:t>
            </w:r>
          </w:p>
        </w:tc>
        <w:tc>
          <w:tcPr>
            <w:tcW w:type="dxa" w:w="3180"/>
            <w:shd w:fill="E8EDF3" w:color="auto" w:val="clear"/>
            <w:tcMar>
              <w:top w:type="dxa" w:w="90"/>
              <w:left w:type="dxa" w:w="130"/>
              <w:bottom w:type="dxa" w:w="90"/>
              <w:right w:type="dxa" w:w="130"/>
            </w:tcMar>
            <w:vAlign w:val="center"/>
          </w:tcPr>
          <w:p>
            <w:pPr>
              <w:spacing w:after="0"/>
            </w:pPr>
            <w:r>
              <w:rPr>
                <w:b/>
                <w:bCs/>
                <w:color w:val="1F3864"/>
              </w:rPr>
              <w:t xml:space="preserve">Cuándo se usa</w:t>
            </w:r>
          </w:p>
        </w:tc>
        <w:tc>
          <w:tcPr>
            <w:tcW w:type="dxa" w:w="3980"/>
            <w:shd w:fill="E8EDF3" w:color="auto" w:val="clear"/>
            <w:tcMar>
              <w:top w:type="dxa" w:w="90"/>
              <w:left w:type="dxa" w:w="130"/>
              <w:bottom w:type="dxa" w:w="90"/>
              <w:right w:type="dxa" w:w="130"/>
            </w:tcMar>
            <w:vAlign w:val="center"/>
          </w:tcPr>
          <w:p>
            <w:pPr>
              <w:spacing w:after="0"/>
            </w:pPr>
            <w:r>
              <w:rPr>
                <w:b/>
                <w:bCs/>
                <w:color w:val="1F3864"/>
              </w:rPr>
              <w:t xml:space="preserve">En Nexora</w:t>
            </w:r>
          </w:p>
        </w:tc>
      </w:tr>
      <w:tr>
        <w:tc>
          <w:tcPr>
            <w:tcW w:type="dxa" w:w="2200"/>
            <w:tcMar>
              <w:top w:type="dxa" w:w="90"/>
              <w:left w:type="dxa" w:w="130"/>
              <w:bottom w:type="dxa" w:w="90"/>
              <w:right w:type="dxa" w:w="130"/>
            </w:tcMar>
            <w:vAlign w:val="center"/>
          </w:tcPr>
          <w:p>
            <w:pPr>
              <w:spacing w:after="0"/>
            </w:pPr>
            <w:r>
              <w:t xml:space="preserve">AWS Pricing Calculator</w:t>
            </w:r>
          </w:p>
        </w:tc>
        <w:tc>
          <w:tcPr>
            <w:tcW w:type="dxa" w:w="3180"/>
            <w:tcMar>
              <w:top w:type="dxa" w:w="90"/>
              <w:left w:type="dxa" w:w="130"/>
              <w:bottom w:type="dxa" w:w="90"/>
              <w:right w:type="dxa" w:w="130"/>
            </w:tcMar>
            <w:vAlign w:val="center"/>
          </w:tcPr>
          <w:p>
            <w:pPr>
              <w:spacing w:after="0"/>
            </w:pPr>
            <w:r>
              <w:t xml:space="preserve">Antes de desplegar: estimar el costo.</w:t>
            </w:r>
          </w:p>
        </w:tc>
        <w:tc>
          <w:tcPr>
            <w:tcW w:type="dxa" w:w="3980"/>
            <w:tcMar>
              <w:top w:type="dxa" w:w="90"/>
              <w:left w:type="dxa" w:w="130"/>
              <w:bottom w:type="dxa" w:w="90"/>
              <w:right w:type="dxa" w:w="130"/>
            </w:tcMar>
            <w:vAlign w:val="center"/>
          </w:tcPr>
          <w:p>
            <w:pPr>
              <w:spacing w:after="0"/>
            </w:pPr>
            <w:r>
              <w:t xml:space="preserve">Requisito del roadmap antes de promover cualquier capacidad a AWS.</w:t>
            </w:r>
          </w:p>
        </w:tc>
      </w:tr>
      <w:tr>
        <w:tc>
          <w:tcPr>
            <w:tcW w:type="dxa" w:w="2200"/>
            <w:tcMar>
              <w:top w:type="dxa" w:w="90"/>
              <w:left w:type="dxa" w:w="130"/>
              <w:bottom w:type="dxa" w:w="90"/>
              <w:right w:type="dxa" w:w="130"/>
            </w:tcMar>
            <w:vAlign w:val="center"/>
          </w:tcPr>
          <w:p>
            <w:pPr>
              <w:spacing w:after="0"/>
            </w:pPr>
            <w:r>
              <w:t xml:space="preserve">AWS Budgets</w:t>
            </w:r>
          </w:p>
        </w:tc>
        <w:tc>
          <w:tcPr>
            <w:tcW w:type="dxa" w:w="3180"/>
            <w:tcMar>
              <w:top w:type="dxa" w:w="90"/>
              <w:left w:type="dxa" w:w="130"/>
              <w:bottom w:type="dxa" w:w="90"/>
              <w:right w:type="dxa" w:w="130"/>
            </w:tcMar>
            <w:vAlign w:val="center"/>
          </w:tcPr>
          <w:p>
            <w:pPr>
              <w:spacing w:after="0"/>
            </w:pPr>
            <w:r>
              <w:t xml:space="preserve">Durante: alertar al cruzar umbrales.</w:t>
            </w:r>
          </w:p>
        </w:tc>
        <w:tc>
          <w:tcPr>
            <w:tcW w:type="dxa" w:w="3980"/>
            <w:tcMar>
              <w:top w:type="dxa" w:w="90"/>
              <w:left w:type="dxa" w:w="130"/>
              <w:bottom w:type="dxa" w:w="90"/>
              <w:right w:type="dxa" w:w="130"/>
            </w:tcMar>
            <w:vAlign w:val="center"/>
          </w:tcPr>
          <w:p>
            <w:pPr>
              <w:spacing w:after="0"/>
            </w:pPr>
            <w:r>
              <w:t xml:space="preserve">Presupuesto de USD 40 con avisos al 50 % (previsto), 80 % y 100 % (real).</w:t>
            </w:r>
          </w:p>
        </w:tc>
      </w:tr>
      <w:tr>
        <w:tc>
          <w:tcPr>
            <w:tcW w:type="dxa" w:w="2200"/>
            <w:tcMar>
              <w:top w:type="dxa" w:w="90"/>
              <w:left w:type="dxa" w:w="130"/>
              <w:bottom w:type="dxa" w:w="90"/>
              <w:right w:type="dxa" w:w="130"/>
            </w:tcMar>
            <w:vAlign w:val="center"/>
          </w:tcPr>
          <w:p>
            <w:pPr>
              <w:spacing w:after="0"/>
            </w:pPr>
            <w:r>
              <w:t xml:space="preserve">Cost Explorer</w:t>
            </w:r>
          </w:p>
        </w:tc>
        <w:tc>
          <w:tcPr>
            <w:tcW w:type="dxa" w:w="3180"/>
            <w:tcMar>
              <w:top w:type="dxa" w:w="90"/>
              <w:left w:type="dxa" w:w="130"/>
              <w:bottom w:type="dxa" w:w="90"/>
              <w:right w:type="dxa" w:w="130"/>
            </w:tcMar>
            <w:vAlign w:val="center"/>
          </w:tcPr>
          <w:p>
            <w:pPr>
              <w:spacing w:after="0"/>
            </w:pPr>
            <w:r>
              <w:t xml:space="preserve">Después: analizar el gasto real por servicio y etiqueta.</w:t>
            </w:r>
          </w:p>
        </w:tc>
        <w:tc>
          <w:tcPr>
            <w:tcW w:type="dxa" w:w="3980"/>
            <w:tcMar>
              <w:top w:type="dxa" w:w="90"/>
              <w:left w:type="dxa" w:w="130"/>
              <w:bottom w:type="dxa" w:w="90"/>
              <w:right w:type="dxa" w:w="130"/>
            </w:tcMar>
            <w:vAlign w:val="center"/>
          </w:tcPr>
          <w:p>
            <w:pPr>
              <w:spacing w:after="0"/>
            </w:pPr>
            <w:r>
              <w:t xml:space="preserve">Revisión obligatoria tras cada despliegue de laboratorio.</w:t>
            </w:r>
          </w:p>
        </w:tc>
      </w:tr>
      <w:tr>
        <w:tc>
          <w:tcPr>
            <w:tcW w:type="dxa" w:w="2200"/>
            <w:tcMar>
              <w:top w:type="dxa" w:w="90"/>
              <w:left w:type="dxa" w:w="130"/>
              <w:bottom w:type="dxa" w:w="90"/>
              <w:right w:type="dxa" w:w="130"/>
            </w:tcMar>
            <w:vAlign w:val="center"/>
          </w:tcPr>
          <w:p>
            <w:pPr>
              <w:spacing w:after="0"/>
            </w:pPr>
            <w:r>
              <w:t xml:space="preserve">Free Tier</w:t>
            </w:r>
          </w:p>
        </w:tc>
        <w:tc>
          <w:tcPr>
            <w:tcW w:type="dxa" w:w="3180"/>
            <w:tcMar>
              <w:top w:type="dxa" w:w="90"/>
              <w:left w:type="dxa" w:w="130"/>
              <w:bottom w:type="dxa" w:w="90"/>
              <w:right w:type="dxa" w:w="130"/>
            </w:tcMar>
            <w:vAlign w:val="center"/>
          </w:tcPr>
          <w:p>
            <w:pPr>
              <w:spacing w:after="0"/>
            </w:pPr>
            <w:r>
              <w:t xml:space="preserve">Siempre: conocer qué es gratis y por cuánto tiempo.</w:t>
            </w:r>
          </w:p>
        </w:tc>
        <w:tc>
          <w:tcPr>
            <w:tcW w:type="dxa" w:w="3980"/>
            <w:tcMar>
              <w:top w:type="dxa" w:w="90"/>
              <w:left w:type="dxa" w:w="130"/>
              <w:bottom w:type="dxa" w:w="90"/>
              <w:right w:type="dxa" w:w="130"/>
            </w:tcMar>
            <w:vAlign w:val="center"/>
          </w:tcPr>
          <w:p>
            <w:pPr>
              <w:spacing w:after="0"/>
            </w:pPr>
            <w:r>
              <w:t xml:space="preserve">Concepto de examen; el laboratorio igual se destruye al terminar.</w:t>
            </w:r>
          </w:p>
        </w:tc>
      </w:tr>
    </w:tbl>
    <w:p>
      <w:pPr>
        <w:spacing w:after="60"/>
      </w:pPr>
      <w:r>
        <w:t xml:space="preserve"/>
      </w:r>
    </w:p>
    <w:p>
      <w:pPr>
        <w:spacing w:after="120"/>
      </w:pPr>
      <w:r>
        <w:rPr>
          <w:b/>
          <w:bCs/>
        </w:rPr>
        <w:t xml:space="preserve">Regla de oro del laboratorio: </w:t>
      </w:r>
      <w:r>
        <w:t xml:space="preserve">ejecutar destroy-aws-lab al terminar. Budgets avisa pero no apaga nada por sí solo.</w:t>
      </w:r>
    </w:p>
    <w:p>
      <w:pPr>
        <w:pStyle w:val="Heading1"/>
      </w:pPr>
      <w:r>
        <w:t xml:space="preserve">6. AWS Well-Architected en el MVP</w:t>
      </w:r>
    </w:p>
    <w:p>
      <w:pPr>
        <w:pStyle w:val="Lead"/>
        <w:spacing w:after="160"/>
      </w:pPr>
      <w:r>
        <w:t xml:space="preserve">El framework tiene seis pilares. En un entorno emulado, “cumplir” significa aplicar y poder mostrar una decisión adecuada al alcance; la conformidad del entorno AWS real solo se verifica tras desplegarlo.</w:t>
      </w:r>
    </w:p>
    <w:tbl>
      <w:tblPr>
        <w:tblW w:type="dxa" w:w="9360"/>
        <w:tblBorders>
          <w:top w:val="single" w:color="C9D2DC" w:sz="4"/>
          <w:left w:val="single" w:color="C9D2DC" w:sz="4"/>
          <w:bottom w:val="single" w:color="C9D2DC" w:sz="4"/>
          <w:right w:val="single" w:color="C9D2DC" w:sz="4"/>
          <w:insideH w:val="single" w:color="D9DEE5" w:sz="4"/>
          <w:insideV w:val="single" w:color="D9DEE5" w:sz="4"/>
        </w:tblBorders>
      </w:tblPr>
      <w:tblGrid>
        <w:gridCol w:w="2200"/>
        <w:gridCol w:w="7160"/>
      </w:tblGrid>
      <w:tr>
        <w:trPr>
          <w:tblHeader/>
        </w:trPr>
        <w:tc>
          <w:tcPr>
            <w:tcW w:type="dxa" w:w="2200"/>
            <w:shd w:fill="E8EDF3" w:color="auto" w:val="clear"/>
            <w:tcMar>
              <w:top w:type="dxa" w:w="90"/>
              <w:left w:type="dxa" w:w="130"/>
              <w:bottom w:type="dxa" w:w="90"/>
              <w:right w:type="dxa" w:w="130"/>
            </w:tcMar>
            <w:vAlign w:val="center"/>
          </w:tcPr>
          <w:p>
            <w:pPr>
              <w:spacing w:after="0"/>
            </w:pPr>
            <w:r>
              <w:rPr>
                <w:b/>
                <w:bCs/>
                <w:color w:val="1F3864"/>
              </w:rPr>
              <w:t xml:space="preserve">Pilar</w:t>
            </w:r>
          </w:p>
        </w:tc>
        <w:tc>
          <w:tcPr>
            <w:tcW w:type="dxa" w:w="7160"/>
            <w:shd w:fill="E8EDF3" w:color="auto" w:val="clear"/>
            <w:tcMar>
              <w:top w:type="dxa" w:w="90"/>
              <w:left w:type="dxa" w:w="130"/>
              <w:bottom w:type="dxa" w:w="90"/>
              <w:right w:type="dxa" w:w="130"/>
            </w:tcMar>
            <w:vAlign w:val="center"/>
          </w:tcPr>
          <w:p>
            <w:pPr>
              <w:spacing w:after="0"/>
            </w:pPr>
            <w:r>
              <w:rPr>
                <w:b/>
                <w:bCs/>
                <w:color w:val="1F3864"/>
              </w:rPr>
              <w:t xml:space="preserve">Control verificable hoy en Nexora</w:t>
            </w:r>
          </w:p>
        </w:tc>
      </w:tr>
      <w:tr>
        <w:tc>
          <w:tcPr>
            <w:tcW w:type="dxa" w:w="2200"/>
            <w:tcMar>
              <w:top w:type="dxa" w:w="90"/>
              <w:left w:type="dxa" w:w="130"/>
              <w:bottom w:type="dxa" w:w="90"/>
              <w:right w:type="dxa" w:w="130"/>
            </w:tcMar>
            <w:vAlign w:val="center"/>
          </w:tcPr>
          <w:p>
            <w:pPr>
              <w:spacing w:after="0"/>
            </w:pPr>
            <w:r>
              <w:t xml:space="preserve">Excelencia operacional</w:t>
            </w:r>
          </w:p>
        </w:tc>
        <w:tc>
          <w:tcPr>
            <w:tcW w:type="dxa" w:w="7160"/>
            <w:tcMar>
              <w:top w:type="dxa" w:w="90"/>
              <w:left w:type="dxa" w:w="130"/>
              <w:bottom w:type="dxa" w:w="90"/>
              <w:right w:type="dxa" w:w="130"/>
            </w:tcMar>
            <w:vAlign w:val="center"/>
          </w:tcPr>
          <w:p>
            <w:pPr>
              <w:spacing w:after="0"/>
            </w:pPr>
            <w:r>
              <w:t xml:space="preserve">Infra y arranque automatizados (Docker Compose, Terraform); logs JSON con requestId (Fastify con requestIdHeader); health checks; ADR que registran cada decisión.</w:t>
            </w:r>
          </w:p>
        </w:tc>
      </w:tr>
      <w:tr>
        <w:tc>
          <w:tcPr>
            <w:tcW w:type="dxa" w:w="2200"/>
            <w:tcMar>
              <w:top w:type="dxa" w:w="90"/>
              <w:left w:type="dxa" w:w="130"/>
              <w:bottom w:type="dxa" w:w="90"/>
              <w:right w:type="dxa" w:w="130"/>
            </w:tcMar>
            <w:vAlign w:val="center"/>
          </w:tcPr>
          <w:p>
            <w:pPr>
              <w:spacing w:after="0"/>
            </w:pPr>
            <w:r>
              <w:t xml:space="preserve">Seguridad</w:t>
            </w:r>
          </w:p>
        </w:tc>
        <w:tc>
          <w:tcPr>
            <w:tcW w:type="dxa" w:w="7160"/>
            <w:tcMar>
              <w:top w:type="dxa" w:w="90"/>
              <w:left w:type="dxa" w:w="130"/>
              <w:bottom w:type="dxa" w:w="90"/>
              <w:right w:type="dxa" w:w="130"/>
            </w:tcMar>
            <w:vAlign w:val="center"/>
          </w:tcPr>
          <w:p>
            <w:pPr>
              <w:spacing w:after="0"/>
            </w:pPr>
            <w:r>
              <w:t xml:space="preserve">Validación de entrada con Zod en el borde; secretos fuera del repo y verificados por CI; contenedor de la API sin root (USER nexora); config.ts bloquea claves estáticas en producción; rol IAM de la Lambda limitado a DescribeTable y Query.</w:t>
            </w:r>
          </w:p>
        </w:tc>
      </w:tr>
      <w:tr>
        <w:tc>
          <w:tcPr>
            <w:tcW w:type="dxa" w:w="2200"/>
            <w:tcMar>
              <w:top w:type="dxa" w:w="90"/>
              <w:left w:type="dxa" w:w="130"/>
              <w:bottom w:type="dxa" w:w="90"/>
              <w:right w:type="dxa" w:w="130"/>
            </w:tcMar>
            <w:vAlign w:val="center"/>
          </w:tcPr>
          <w:p>
            <w:pPr>
              <w:spacing w:after="0"/>
            </w:pPr>
            <w:r>
              <w:t xml:space="preserve">Fiabilidad</w:t>
            </w:r>
          </w:p>
        </w:tc>
        <w:tc>
          <w:tcPr>
            <w:tcW w:type="dxa" w:w="7160"/>
            <w:tcMar>
              <w:top w:type="dxa" w:w="90"/>
              <w:left w:type="dxa" w:w="130"/>
              <w:bottom w:type="dxa" w:w="90"/>
              <w:right w:type="dxa" w:w="130"/>
            </w:tcMar>
            <w:vAlign w:val="center"/>
          </w:tcPr>
          <w:p>
            <w:pPr>
              <w:spacing w:after="0"/>
            </w:pPr>
            <w:r>
              <w:t xml:space="preserve">Health checks con reintentos en Compose; el dashboard degrada a 503 o a estado pending sin romperse; compra y venta se diseñan con escrituras condicionales, transacciones e idempotencia.</w:t>
            </w:r>
          </w:p>
        </w:tc>
      </w:tr>
      <w:tr>
        <w:tc>
          <w:tcPr>
            <w:tcW w:type="dxa" w:w="2200"/>
            <w:tcMar>
              <w:top w:type="dxa" w:w="90"/>
              <w:left w:type="dxa" w:w="130"/>
              <w:bottom w:type="dxa" w:w="90"/>
              <w:right w:type="dxa" w:w="130"/>
            </w:tcMar>
            <w:vAlign w:val="center"/>
          </w:tcPr>
          <w:p>
            <w:pPr>
              <w:spacing w:after="0"/>
            </w:pPr>
            <w:r>
              <w:t xml:space="preserve">Eficiencia del rendimiento</w:t>
            </w:r>
          </w:p>
        </w:tc>
        <w:tc>
          <w:tcPr>
            <w:tcW w:type="dxa" w:w="7160"/>
            <w:tcMar>
              <w:top w:type="dxa" w:w="90"/>
              <w:left w:type="dxa" w:w="130"/>
              <w:bottom w:type="dxa" w:w="90"/>
              <w:right w:type="dxa" w:w="130"/>
            </w:tcMar>
            <w:vAlign w:val="center"/>
          </w:tcPr>
          <w:p>
            <w:pPr>
              <w:spacing w:after="0"/>
            </w:pPr>
            <w:r>
              <w:t xml:space="preserve">Query por partición con Select COUNT, nunca Scan; SDK de AWS v3 modular; Lambda ARM64 de 256 MB; límites de respuesta y paginación previstos.</w:t>
            </w:r>
          </w:p>
        </w:tc>
      </w:tr>
      <w:tr>
        <w:tc>
          <w:tcPr>
            <w:tcW w:type="dxa" w:w="2200"/>
            <w:tcMar>
              <w:top w:type="dxa" w:w="90"/>
              <w:left w:type="dxa" w:w="130"/>
              <w:bottom w:type="dxa" w:w="90"/>
              <w:right w:type="dxa" w:w="130"/>
            </w:tcMar>
            <w:vAlign w:val="center"/>
          </w:tcPr>
          <w:p>
            <w:pPr>
              <w:spacing w:after="0"/>
            </w:pPr>
            <w:r>
              <w:t xml:space="preserve">Optimización de costos</w:t>
            </w:r>
          </w:p>
        </w:tc>
        <w:tc>
          <w:tcPr>
            <w:tcW w:type="dxa" w:w="7160"/>
            <w:tcMar>
              <w:top w:type="dxa" w:w="90"/>
              <w:left w:type="dxa" w:w="130"/>
              <w:bottom w:type="dxa" w:w="90"/>
              <w:right w:type="dxa" w:w="130"/>
            </w:tcMar>
            <w:vAlign w:val="center"/>
          </w:tcPr>
          <w:p>
            <w:pPr>
              <w:spacing w:after="0"/>
            </w:pPr>
            <w:r>
              <w:t xml:space="preserve">Un único servicio de datos; DynamoDB PAY_PER_REQUEST; Lambda con concurrencia reservada de 2; AWS Budgets de USD 40; procedimiento docker compose down.</w:t>
            </w:r>
          </w:p>
        </w:tc>
      </w:tr>
      <w:tr>
        <w:tc>
          <w:tcPr>
            <w:tcW w:type="dxa" w:w="2200"/>
            <w:tcMar>
              <w:top w:type="dxa" w:w="90"/>
              <w:left w:type="dxa" w:w="130"/>
              <w:bottom w:type="dxa" w:w="90"/>
              <w:right w:type="dxa" w:w="130"/>
            </w:tcMar>
            <w:vAlign w:val="center"/>
          </w:tcPr>
          <w:p>
            <w:pPr>
              <w:spacing w:after="0"/>
            </w:pPr>
            <w:r>
              <w:t xml:space="preserve">Sostenibilidad</w:t>
            </w:r>
          </w:p>
        </w:tc>
        <w:tc>
          <w:tcPr>
            <w:tcW w:type="dxa" w:w="7160"/>
            <w:tcMar>
              <w:top w:type="dxa" w:w="90"/>
              <w:left w:type="dxa" w:w="130"/>
              <w:bottom w:type="dxa" w:w="90"/>
              <w:right w:type="dxa" w:w="130"/>
            </w:tcMar>
            <w:vAlign w:val="center"/>
          </w:tcPr>
          <w:p>
            <w:pPr>
              <w:spacing w:after="0"/>
            </w:pPr>
            <w:r>
              <w:t xml:space="preserve">Imágenes de contenedor mínimas (Alpine); dataset pequeño; apagado del entorno inactivo; sin cómputo sobredimensionado.</w:t>
            </w:r>
          </w:p>
        </w:tc>
      </w:tr>
    </w:tbl>
    <w:p>
      <w:pPr>
        <w:pStyle w:val="Heading1"/>
      </w:pPr>
      <w:r>
        <w:t xml:space="preserve">7. Demostración práctica guiada</w:t>
      </w:r>
    </w:p>
    <w:p>
      <w:pPr>
        <w:pStyle w:val="Lead"/>
        <w:spacing w:after="160"/>
      </w:pPr>
      <w:r>
        <w:t xml:space="preserve">El mentor conduce; la mentee replica en su máquina. Todos los comandos son de PowerShell en Windows, tomados del README y de docs/.</w:t>
      </w:r>
    </w:p>
    <w:p>
      <w:pPr>
        <w:pStyle w:val="Heading2"/>
      </w:pPr>
      <w:r>
        <w:t xml:space="preserve">7.1 Levantar el entorno</w:t>
      </w:r>
    </w:p>
    <w:p>
      <w:pPr>
        <w:pStyle w:val="ListParagraph"/>
        <w:numPr>
          <w:ilvl w:val="0"/>
          <w:numId w:val="3"/>
        </w:numPr>
        <w:spacing w:after="70"/>
      </w:pPr>
      <w:r>
        <w:t xml:space="preserve">Instalar dependencias del monorepo.</w:t>
      </w:r>
    </w:p>
    <w:p>
      <w:pPr>
        <w:pStyle w:val="ListParagraph"/>
        <w:numPr>
          <w:ilvl w:val="0"/>
          <w:numId w:val="3"/>
        </w:numPr>
        <w:spacing w:after="70"/>
      </w:pPr>
      <w:r>
        <w:t xml:space="preserve">Levantar Floci en segundo plano.</w:t>
      </w:r>
    </w:p>
    <w:p>
      <w:pPr>
        <w:pStyle w:val="ListParagraph"/>
        <w:numPr>
          <w:ilvl w:val="0"/>
          <w:numId w:val="3"/>
        </w:numPr>
        <w:spacing w:after="70"/>
      </w:pPr>
      <w:r>
        <w:t xml:space="preserve">Crear la infraestructura local con Terraform (tabla + red).</w:t>
      </w:r>
    </w:p>
    <w:p>
      <w:pPr>
        <w:pStyle w:val="ListParagraph"/>
        <w:numPr>
          <w:ilvl w:val="0"/>
          <w:numId w:val="3"/>
        </w:numPr>
        <w:spacing w:after="70"/>
      </w:pPr>
      <w:r>
        <w:t xml:space="preserve">Levantar API y web.</w:t>
      </w:r>
    </w:p>
    <w:p>
      <w:pPr>
        <w:pStyle w:val="ListParagraph"/>
        <w:numPr>
          <w:ilvl w:val="0"/>
          <w:numId w:val="3"/>
        </w:numPr>
        <w:spacing w:after="70"/>
      </w:pPr>
      <w:r>
        <w:t xml:space="preserve">Comprobar el estado de los contenedores.</w:t>
      </w:r>
    </w:p>
    <w:p>
      <w:pPr>
        <w:pStyle w:val="Code"/>
        <w:shd w:fill="F3F4F6" w:color="auto" w:val="clear"/>
        <w:spacing w:after="0" w:before="90" w:line="260"/>
        <w:ind w:left="170" w:right="120"/>
      </w:pPr>
      <w:r>
        <w:rPr>
          <w:rFonts w:ascii="Consolas" w:cs="Consolas" w:eastAsia="Consolas" w:hAnsi="Consolas"/>
          <w:sz w:val="17"/>
          <w:szCs w:val="17"/>
        </w:rPr>
        <w:t xml:space="preserve">bun install</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docker compose up -d floci</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terraform -chdir=infra/terraform init</w:t>
      </w:r>
    </w:p>
    <w:p>
      <w:pPr>
        <w:pStyle w:val="Code"/>
        <w:shd w:fill="F3F4F6" w:color="auto" w:val="clear"/>
        <w:spacing w:after="0" w:before="0" w:line="260"/>
        <w:ind w:left="170" w:right="120"/>
      </w:pPr>
      <w:r>
        <w:rPr>
          <w:rFonts w:ascii="Consolas" w:cs="Consolas" w:eastAsia="Consolas" w:hAnsi="Consolas"/>
          <w:sz w:val="17"/>
          <w:szCs w:val="17"/>
        </w:rPr>
        <w:t xml:space="preserve">terraform -chdir=infra/terraform apply -auto-approve</w:t>
      </w:r>
    </w:p>
    <w:p>
      <w:pPr>
        <w:pStyle w:val="Code"/>
        <w:shd w:fill="F3F4F6" w:color="auto" w:val="clear"/>
        <w:spacing w:after="0" w:before="0" w:line="260"/>
        <w:ind w:left="170" w:right="120"/>
      </w:pPr>
      <w:r>
        <w:rPr>
          <w:rFonts w:ascii="Consolas" w:cs="Consolas" w:eastAsia="Consolas" w:hAnsi="Consolas"/>
          <w:sz w:val="17"/>
          <w:szCs w:val="17"/>
        </w:rPr>
        <w:t xml:space="preserve">terraform -chdir=infra/terraform apply -auto-approve</w:t>
      </w:r>
    </w:p>
    <w:p>
      <w:pPr>
        <w:pStyle w:val="Code"/>
        <w:shd w:fill="F3F4F6" w:color="auto" w:val="clear"/>
        <w:spacing w:after="0" w:before="0" w:line="260"/>
        <w:ind w:left="170" w:right="120"/>
      </w:pPr>
      <w:r>
        <w:rPr>
          <w:rFonts w:ascii="Consolas" w:cs="Consolas" w:eastAsia="Consolas" w:hAnsi="Consolas"/>
          <w:sz w:val="17"/>
          <w:szCs w:val="17"/>
        </w:rPr>
        <w:t xml:space="preserve">terraform -chdir=infra/terraform plan -detailed-exitcode</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docker compose up --build -d api web</w:t>
      </w:r>
    </w:p>
    <w:p>
      <w:pPr>
        <w:pStyle w:val="Code"/>
        <w:shd w:fill="F3F4F6" w:color="auto" w:val="clear"/>
        <w:spacing w:after="170" w:before="0" w:line="260"/>
        <w:ind w:left="170" w:right="120"/>
      </w:pPr>
      <w:r>
        <w:rPr>
          <w:rFonts w:ascii="Consolas" w:cs="Consolas" w:eastAsia="Consolas" w:hAnsi="Consolas"/>
          <w:sz w:val="17"/>
          <w:szCs w:val="17"/>
        </w:rPr>
        <w:t xml:space="preserve">docker compose ps</w:t>
      </w:r>
    </w:p>
    <w:p>
      <w:pPr>
        <w:spacing w:after="120"/>
      </w:pPr>
      <w:r>
        <w:rPr>
          <w:b/>
          <w:bCs/>
        </w:rPr>
        <w:t xml:space="preserve">Por qué se aplica dos veces. </w:t>
      </w:r>
      <w:r>
        <w:t xml:space="preserve">Al crear un grupo de seguridad, Floci añade primero la regla de salida permisiva por defecto de AWS; la segunda aplicación la retira. El criterio de aceptación es que </w:t>
      </w:r>
      <w:r>
        <w:rPr>
          <w:rFonts w:ascii="Consolas" w:cs="Consolas" w:eastAsia="Consolas" w:hAnsi="Consolas"/>
          <w:sz w:val="18"/>
          <w:szCs w:val="18"/>
        </w:rPr>
        <w:t xml:space="preserve">terraform plan -detailed-exitcode</w:t>
      </w:r>
      <w:r>
        <w:t xml:space="preserve"> termine con código de salida 0 (sin cambios). Está documentado en el ADR 0002.</w:t>
      </w:r>
    </w:p>
    <w:p>
      <w:pPr>
        <w:pStyle w:val="Heading2"/>
      </w:pPr>
      <w:r>
        <w:t xml:space="preserve">7.2 Probar la API</w:t>
      </w:r>
    </w:p>
    <w:p>
      <w:pPr>
        <w:pStyle w:val="Code"/>
        <w:shd w:fill="F3F4F6" w:color="auto" w:val="clear"/>
        <w:spacing w:after="0" w:before="90" w:line="260"/>
        <w:ind w:left="170" w:right="120"/>
      </w:pPr>
      <w:r>
        <w:rPr>
          <w:rFonts w:ascii="Consolas" w:cs="Consolas" w:eastAsia="Consolas" w:hAnsi="Consolas"/>
          <w:sz w:val="17"/>
          <w:szCs w:val="17"/>
        </w:rPr>
        <w:t xml:space="preserve">curl http://localhost:3000/health</w:t>
      </w:r>
    </w:p>
    <w:p>
      <w:pPr>
        <w:pStyle w:val="Code"/>
        <w:shd w:fill="F3F4F6" w:color="auto" w:val="clear"/>
        <w:spacing w:after="0" w:before="0" w:line="260"/>
        <w:ind w:left="170" w:right="120"/>
      </w:pPr>
      <w:r>
        <w:rPr>
          <w:rFonts w:ascii="Consolas" w:cs="Consolas" w:eastAsia="Consolas" w:hAnsi="Consolas"/>
          <w:sz w:val="17"/>
          <w:szCs w:val="17"/>
        </w:rPr>
        <w:t xml:space="preserve"># Esperado:  {"status":"ok","service":"nexora-api","timestamp":"..."}</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curl http://localhost:3000/api/v1/dashboard</w:t>
      </w:r>
    </w:p>
    <w:p>
      <w:pPr>
        <w:pStyle w:val="Code"/>
        <w:shd w:fill="F3F4F6" w:color="auto" w:val="clear"/>
        <w:spacing w:after="0" w:before="0" w:line="260"/>
        <w:ind w:left="170" w:right="120"/>
      </w:pPr>
      <w:r>
        <w:rPr>
          <w:rFonts w:ascii="Consolas" w:cs="Consolas" w:eastAsia="Consolas" w:hAnsi="Consolas"/>
          <w:sz w:val="17"/>
          <w:szCs w:val="17"/>
        </w:rPr>
        <w:t xml:space="preserve"># Esperado (tabla creada, sin datos):</w:t>
      </w:r>
    </w:p>
    <w:p>
      <w:pPr>
        <w:pStyle w:val="Code"/>
        <w:shd w:fill="F3F4F6" w:color="auto" w:val="clear"/>
        <w:spacing w:after="0" w:before="0" w:line="260"/>
        <w:ind w:left="170" w:right="120"/>
      </w:pPr>
      <w:r>
        <w:rPr>
          <w:rFonts w:ascii="Consolas" w:cs="Consolas" w:eastAsia="Consolas" w:hAnsi="Consolas"/>
          <w:sz w:val="17"/>
          <w:szCs w:val="17"/>
        </w:rPr>
        <w:t xml:space="preserve"># {"infrastructure":"ready","customers":0,"products":0,"salesTotalMinor":0,</w:t>
      </w:r>
    </w:p>
    <w:p>
      <w:pPr>
        <w:pStyle w:val="Code"/>
        <w:shd w:fill="F3F4F6" w:color="auto" w:val="clear"/>
        <w:spacing w:after="170" w:before="0" w:line="260"/>
        <w:ind w:left="170" w:right="120"/>
      </w:pPr>
      <w:r>
        <w:rPr>
          <w:rFonts w:ascii="Consolas" w:cs="Consolas" w:eastAsia="Consolas" w:hAnsi="Consolas"/>
          <w:sz w:val="17"/>
          <w:szCs w:val="17"/>
        </w:rPr>
        <w:t xml:space="preserve">#  "stockUnits":0,"lowStockCount":0,"currency":"CLP","updatedAt":"..."}</w:t>
      </w:r>
    </w:p>
    <w:p>
      <w:pPr>
        <w:spacing w:after="120"/>
      </w:pPr>
      <w:r>
        <w:t xml:space="preserve">Abrir luego http://localhost:5173 y mostrar el dashboard: indicadores en cero, estados vacíos y el rótulo “Infraestructura operativa”.</w:t>
      </w:r>
    </w:p>
    <w:p>
      <w:pPr>
        <w:spacing w:after="120"/>
      </w:pPr>
      <w:r>
        <w:rPr>
          <w:b/>
          <w:bCs/>
        </w:rPr>
        <w:t xml:space="preserve">Detalle honesto para la clase: </w:t>
      </w:r>
      <w:r>
        <w:t xml:space="preserve">hoy el endpoint solo cuenta particiones. </w:t>
      </w:r>
      <w:r>
        <w:rPr>
          <w:rFonts w:ascii="Consolas" w:cs="Consolas" w:eastAsia="Consolas" w:hAnsi="Consolas"/>
          <w:sz w:val="18"/>
          <w:szCs w:val="18"/>
        </w:rPr>
        <w:t xml:space="preserve">stockUnits</w:t>
      </w:r>
      <w:r>
        <w:t xml:space="preserve"> y </w:t>
      </w:r>
      <w:r>
        <w:rPr>
          <w:rFonts w:ascii="Consolas" w:cs="Consolas" w:eastAsia="Consolas" w:hAnsi="Consolas"/>
          <w:sz w:val="18"/>
          <w:szCs w:val="18"/>
        </w:rPr>
        <w:t xml:space="preserve">salesTotalMinor</w:t>
      </w:r>
      <w:r>
        <w:t xml:space="preserve"> están fijados en 0 hasta que se implemente el cálculo real (semana 4). Es un buen ejemplo de qué es un andamiaje de MVP.</w:t>
      </w:r>
    </w:p>
    <w:p>
      <w:pPr>
        <w:pStyle w:val="Heading2"/>
      </w:pPr>
      <w:r>
        <w:t xml:space="preserve">7.3 Verificar la infraestructura con la AWS CLI</w:t>
      </w:r>
    </w:p>
    <w:p>
      <w:pPr>
        <w:pStyle w:val="Code"/>
        <w:shd w:fill="F3F4F6" w:color="auto" w:val="clear"/>
        <w:spacing w:after="0" w:before="90" w:line="260"/>
        <w:ind w:left="170" w:right="120"/>
      </w:pPr>
      <w:r>
        <w:rPr>
          <w:rFonts w:ascii="Consolas" w:cs="Consolas" w:eastAsia="Consolas" w:hAnsi="Consolas"/>
          <w:sz w:val="17"/>
          <w:szCs w:val="17"/>
        </w:rPr>
        <w:t xml:space="preserve">$env:AWS_ACCESS_KEY_ID='test'</w:t>
      </w:r>
    </w:p>
    <w:p>
      <w:pPr>
        <w:pStyle w:val="Code"/>
        <w:shd w:fill="F3F4F6" w:color="auto" w:val="clear"/>
        <w:spacing w:after="0" w:before="0" w:line="260"/>
        <w:ind w:left="170" w:right="120"/>
      </w:pPr>
      <w:r>
        <w:rPr>
          <w:rFonts w:ascii="Consolas" w:cs="Consolas" w:eastAsia="Consolas" w:hAnsi="Consolas"/>
          <w:sz w:val="17"/>
          <w:szCs w:val="17"/>
        </w:rPr>
        <w:t xml:space="preserve">$env:AWS_SECRET_ACCESS_KEY='test'</w:t>
      </w:r>
    </w:p>
    <w:p>
      <w:pPr>
        <w:pStyle w:val="Code"/>
        <w:shd w:fill="F3F4F6" w:color="auto" w:val="clear"/>
        <w:spacing w:after="0" w:before="0" w:line="260"/>
        <w:ind w:left="170" w:right="120"/>
      </w:pPr>
      <w:r>
        <w:rPr>
          <w:rFonts w:ascii="Consolas" w:cs="Consolas" w:eastAsia="Consolas" w:hAnsi="Consolas"/>
          <w:sz w:val="17"/>
          <w:szCs w:val="17"/>
        </w:rPr>
        <w:t xml:space="preserve">$env:AWS_DEFAULT_REGION='us-east-1'</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aws --endpoint-url http://localhost:4566 dynamodb describe-table --table-name nexora-local</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aws --endpoint-url http://localhost:4566 ec2 describe-vpcs</w:t>
      </w:r>
    </w:p>
    <w:p>
      <w:pPr>
        <w:pStyle w:val="Code"/>
        <w:shd w:fill="F3F4F6" w:color="auto" w:val="clear"/>
        <w:spacing w:after="0" w:before="0" w:line="260"/>
        <w:ind w:left="170" w:right="120"/>
      </w:pPr>
      <w:r>
        <w:rPr>
          <w:rFonts w:ascii="Consolas" w:cs="Consolas" w:eastAsia="Consolas" w:hAnsi="Consolas"/>
          <w:sz w:val="17"/>
          <w:szCs w:val="17"/>
        </w:rPr>
        <w:t xml:space="preserve">aws --endpoint-url http://localhost:4566 ec2 describe-subnets</w:t>
      </w:r>
    </w:p>
    <w:p>
      <w:pPr>
        <w:pStyle w:val="Code"/>
        <w:shd w:fill="F3F4F6" w:color="auto" w:val="clear"/>
        <w:spacing w:after="170" w:before="0" w:line="260"/>
        <w:ind w:left="170" w:right="120"/>
      </w:pPr>
      <w:r>
        <w:rPr>
          <w:rFonts w:ascii="Consolas" w:cs="Consolas" w:eastAsia="Consolas" w:hAnsi="Consolas"/>
          <w:sz w:val="17"/>
          <w:szCs w:val="17"/>
        </w:rPr>
        <w:t xml:space="preserve">aws --endpoint-url http://localhost:4566 ec2 describe-security-groups</w:t>
      </w:r>
    </w:p>
    <w:p>
      <w:pPr>
        <w:spacing w:after="120"/>
      </w:pPr>
      <w:r>
        <w:rPr>
          <w:b/>
          <w:bCs/>
        </w:rPr>
        <w:t xml:space="preserve">Pregunta guiada: </w:t>
      </w:r>
      <w:r>
        <w:t xml:space="preserve">en describe-table, ¿dónde se ve que la tabla es bajo demanda y cuáles son PK y SK? ¿Qué diferencia hay entre las subredes públicas y las privadas en describe-subnets (</w:t>
      </w:r>
      <w:r>
        <w:rPr>
          <w:rFonts w:ascii="Consolas" w:cs="Consolas" w:eastAsia="Consolas" w:hAnsi="Consolas"/>
          <w:sz w:val="18"/>
          <w:szCs w:val="18"/>
        </w:rPr>
        <w:t xml:space="preserve">MapPublicIpOnLaunch</w:t>
      </w:r>
      <w:r>
        <w:t xml:space="preserve">)?</w:t>
      </w:r>
    </w:p>
    <w:p>
      <w:pPr>
        <w:pStyle w:val="Heading1"/>
      </w:pPr>
      <w:r>
        <w:t xml:space="preserve">8. Laboratorio de la mentee</w:t>
      </w:r>
    </w:p>
    <w:p>
      <w:pPr>
        <w:pStyle w:val="Lead"/>
        <w:spacing w:after="160"/>
      </w:pPr>
      <w:r>
        <w:t xml:space="preserve">Cuatro laboratorios cortos, ajustados a lo que hoy existe. El flujo completo de negocio del acta (tenant, cliente, producto, compra, venta, stock, acceso cruzado denegado) es de las semanas 2 a 5 del roadmap; aquí se practica la fundación y se simula el modelo de datos con la AWS CLI.</w:t>
      </w:r>
    </w:p>
    <w:p>
      <w:pPr>
        <w:pStyle w:val="Heading2"/>
      </w:pPr>
      <w:r>
        <w:t xml:space="preserve">8.1 Laboratorio A — Entorno reproducible</w:t>
      </w:r>
    </w:p>
    <w:p>
      <w:pPr>
        <w:pStyle w:val="ListParagraph"/>
        <w:numPr>
          <w:ilvl w:val="0"/>
          <w:numId w:val="4"/>
        </w:numPr>
        <w:spacing w:after="70"/>
      </w:pPr>
      <w:r>
        <w:t xml:space="preserve">Levantar todo desde cero siguiendo la sección 7.1, en una carpeta limpia.</w:t>
      </w:r>
    </w:p>
    <w:p>
      <w:pPr>
        <w:pStyle w:val="ListParagraph"/>
        <w:numPr>
          <w:ilvl w:val="0"/>
          <w:numId w:val="4"/>
        </w:numPr>
        <w:spacing w:after="70"/>
      </w:pPr>
      <w:r>
        <w:t xml:space="preserve">Probar /health y /api/v1/dashboard; anotar la respuesta.</w:t>
      </w:r>
    </w:p>
    <w:p>
      <w:pPr>
        <w:pStyle w:val="ListParagraph"/>
        <w:numPr>
          <w:ilvl w:val="0"/>
          <w:numId w:val="4"/>
        </w:numPr>
        <w:spacing w:after="70"/>
      </w:pPr>
      <w:r>
        <w:t xml:space="preserve">Registrar en un cuaderno: puertos (web 5173, API 3000, Floci 4566), contenedores en ejecución y qué comprueba cada health check.</w:t>
      </w:r>
    </w:p>
    <w:p>
      <w:pPr>
        <w:pStyle w:val="ListParagraph"/>
        <w:numPr>
          <w:ilvl w:val="0"/>
          <w:numId w:val="4"/>
        </w:numPr>
        <w:spacing w:after="70"/>
      </w:pPr>
      <w:r>
        <w:t xml:space="preserve">Abrir el dashboard en el navegador y describir con sus palabras qué muestra y qué no.</w:t>
      </w:r>
    </w:p>
    <w:p>
      <w:pPr>
        <w:spacing w:after="120"/>
      </w:pPr>
      <w:r>
        <w:rPr>
          <w:b/>
          <w:bCs/>
        </w:rPr>
        <w:t xml:space="preserve">Evidencia: </w:t>
      </w:r>
      <w:r>
        <w:t xml:space="preserve">captura del dashboard con “Infraestructura operativa” y salida de docker compose ps.</w:t>
      </w:r>
    </w:p>
    <w:p>
      <w:pPr>
        <w:pStyle w:val="Heading2"/>
      </w:pPr>
      <w:r>
        <w:t xml:space="preserve">8.2 Laboratorio B — Modelo de datos multi-tenant con la AWS CLI</w:t>
      </w:r>
    </w:p>
    <w:p>
      <w:pPr>
        <w:spacing w:after="120"/>
      </w:pPr>
      <w:r>
        <w:t xml:space="preserve">Se insertan ítems de ejemplo con las claves del modelo (PLAN_MVP, sección 5) y se observa cómo reacciona el dashboard.</w:t>
      </w:r>
    </w:p>
    <w:p>
      <w:pPr>
        <w:spacing w:after="60"/>
        <w:ind w:left="470" w:hanging="360"/>
      </w:pPr>
      <w:r>
        <w:rPr>
          <w:b/>
          <w:bCs/>
        </w:rPr>
        <w:t xml:space="preserve">1.  </w:t>
      </w:r>
      <w:r>
        <w:t xml:space="preserve">Crear el archivo del ítem cliente y escribirlo en la tabla.</w:t>
      </w:r>
    </w:p>
    <w:p>
      <w:pPr>
        <w:pStyle w:val="Code"/>
        <w:shd w:fill="F3F4F6" w:color="auto" w:val="clear"/>
        <w:spacing w:after="0" w:before="90" w:line="260"/>
        <w:ind w:left="170" w:right="120"/>
      </w:pPr>
      <w:r>
        <w:rPr>
          <w:rFonts w:ascii="Consolas" w:cs="Consolas" w:eastAsia="Consolas" w:hAnsi="Consolas"/>
          <w:sz w:val="17"/>
          <w:szCs w:val="17"/>
        </w:rPr>
        <w:t xml:space="preserve">@'</w:t>
      </w:r>
    </w:p>
    <w:p>
      <w:pPr>
        <w:pStyle w:val="Code"/>
        <w:shd w:fill="F3F4F6" w:color="auto" w:val="clear"/>
        <w:spacing w:after="0" w:before="0" w:line="260"/>
        <w:ind w:left="170" w:right="120"/>
      </w:pPr>
      <w:r>
        <w:rPr>
          <w:rFonts w:ascii="Consolas" w:cs="Consolas" w:eastAsia="Consolas" w:hAnsi="Consolas"/>
          <w:sz w:val="17"/>
          <w:szCs w:val="17"/>
        </w:rPr>
        <w:t xml:space="preserve">{</w:t>
      </w:r>
    </w:p>
    <w:p>
      <w:pPr>
        <w:pStyle w:val="Code"/>
        <w:shd w:fill="F3F4F6" w:color="auto" w:val="clear"/>
        <w:spacing w:after="0" w:before="0" w:line="260"/>
        <w:ind w:left="170" w:right="120"/>
      </w:pPr>
      <w:r>
        <w:rPr>
          <w:rFonts w:ascii="Consolas" w:cs="Consolas" w:eastAsia="Consolas" w:hAnsi="Consolas"/>
          <w:sz w:val="17"/>
          <w:szCs w:val="17"/>
        </w:rPr>
        <w:t xml:space="preserve">  "PK":   {"S": "TENANT#demo#CUSTOMERS"},</w:t>
      </w:r>
    </w:p>
    <w:p>
      <w:pPr>
        <w:pStyle w:val="Code"/>
        <w:shd w:fill="F3F4F6" w:color="auto" w:val="clear"/>
        <w:spacing w:after="0" w:before="0" w:line="260"/>
        <w:ind w:left="170" w:right="120"/>
      </w:pPr>
      <w:r>
        <w:rPr>
          <w:rFonts w:ascii="Consolas" w:cs="Consolas" w:eastAsia="Consolas" w:hAnsi="Consolas"/>
          <w:sz w:val="17"/>
          <w:szCs w:val="17"/>
        </w:rPr>
        <w:t xml:space="preserve">  "SK":   {"S": "CUSTOMER#001"},</w:t>
      </w:r>
    </w:p>
    <w:p>
      <w:pPr>
        <w:pStyle w:val="Code"/>
        <w:shd w:fill="F3F4F6" w:color="auto" w:val="clear"/>
        <w:spacing w:after="0" w:before="0" w:line="260"/>
        <w:ind w:left="170" w:right="120"/>
      </w:pPr>
      <w:r>
        <w:rPr>
          <w:rFonts w:ascii="Consolas" w:cs="Consolas" w:eastAsia="Consolas" w:hAnsi="Consolas"/>
          <w:sz w:val="17"/>
          <w:szCs w:val="17"/>
        </w:rPr>
        <w:t xml:space="preserve">  "name": {"S": "Cliente Demo"},</w:t>
      </w:r>
    </w:p>
    <w:p>
      <w:pPr>
        <w:pStyle w:val="Code"/>
        <w:shd w:fill="F3F4F6" w:color="auto" w:val="clear"/>
        <w:spacing w:after="0" w:before="0" w:line="260"/>
        <w:ind w:left="170" w:right="120"/>
      </w:pPr>
      <w:r>
        <w:rPr>
          <w:rFonts w:ascii="Consolas" w:cs="Consolas" w:eastAsia="Consolas" w:hAnsi="Consolas"/>
          <w:sz w:val="17"/>
          <w:szCs w:val="17"/>
        </w:rPr>
        <w:t xml:space="preserve">  "email":{"S": "demo@nexora.test"}</w:t>
      </w:r>
    </w:p>
    <w:p>
      <w:pPr>
        <w:pStyle w:val="Code"/>
        <w:shd w:fill="F3F4F6" w:color="auto" w:val="clear"/>
        <w:spacing w:after="0" w:before="0" w:line="260"/>
        <w:ind w:left="170" w:right="120"/>
      </w:pPr>
      <w:r>
        <w:rPr>
          <w:rFonts w:ascii="Consolas" w:cs="Consolas" w:eastAsia="Consolas" w:hAnsi="Consolas"/>
          <w:sz w:val="17"/>
          <w:szCs w:val="17"/>
        </w:rPr>
        <w:t xml:space="preserve">}</w:t>
      </w:r>
    </w:p>
    <w:p>
      <w:pPr>
        <w:pStyle w:val="Code"/>
        <w:shd w:fill="F3F4F6" w:color="auto" w:val="clear"/>
        <w:spacing w:after="0" w:before="0" w:line="260"/>
        <w:ind w:left="170" w:right="120"/>
      </w:pPr>
      <w:r>
        <w:rPr>
          <w:rFonts w:ascii="Consolas" w:cs="Consolas" w:eastAsia="Consolas" w:hAnsi="Consolas"/>
          <w:sz w:val="17"/>
          <w:szCs w:val="17"/>
        </w:rPr>
        <w:t xml:space="preserve">'@ | Set-Content -Encoding utf8 cliente.json</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aws --endpoint-url http://localhost:4566 dynamodb put-item `</w:t>
      </w:r>
    </w:p>
    <w:p>
      <w:pPr>
        <w:pStyle w:val="Code"/>
        <w:shd w:fill="F3F4F6" w:color="auto" w:val="clear"/>
        <w:spacing w:after="170" w:before="0" w:line="260"/>
        <w:ind w:left="170" w:right="120"/>
      </w:pPr>
      <w:r>
        <w:rPr>
          <w:rFonts w:ascii="Consolas" w:cs="Consolas" w:eastAsia="Consolas" w:hAnsi="Consolas"/>
          <w:sz w:val="17"/>
          <w:szCs w:val="17"/>
        </w:rPr>
        <w:t xml:space="preserve">  --table-name nexora-local --item file://cliente.json</w:t>
      </w:r>
    </w:p>
    <w:p>
      <w:pPr>
        <w:spacing w:after="60"/>
        <w:ind w:left="470" w:hanging="360"/>
      </w:pPr>
      <w:r>
        <w:rPr>
          <w:b/>
          <w:bCs/>
        </w:rPr>
        <w:t xml:space="preserve">2.  </w:t>
      </w:r>
      <w:r>
        <w:t xml:space="preserve">Repetir con un producto: PK TENANT#demo#PRODUCTS, SK PRODUCT#001, y campos sku, name, price y minStock.</w:t>
      </w:r>
    </w:p>
    <w:p>
      <w:pPr>
        <w:spacing w:after="60"/>
        <w:ind w:left="470" w:hanging="360"/>
      </w:pPr>
      <w:r>
        <w:rPr>
          <w:b/>
          <w:bCs/>
        </w:rPr>
        <w:t xml:space="preserve">3.  </w:t>
      </w:r>
      <w:r>
        <w:t xml:space="preserve">Pedir de nuevo el dashboard y observar el cambio.</w:t>
      </w:r>
    </w:p>
    <w:p>
      <w:pPr>
        <w:pStyle w:val="Code"/>
        <w:shd w:fill="F3F4F6" w:color="auto" w:val="clear"/>
        <w:spacing w:after="0" w:before="90" w:line="260"/>
        <w:ind w:left="170" w:right="120"/>
      </w:pPr>
      <w:r>
        <w:rPr>
          <w:rFonts w:ascii="Consolas" w:cs="Consolas" w:eastAsia="Consolas" w:hAnsi="Consolas"/>
          <w:sz w:val="17"/>
          <w:szCs w:val="17"/>
        </w:rPr>
        <w:t xml:space="preserve">curl http://localhost:3000/api/v1/dashboard</w:t>
      </w:r>
    </w:p>
    <w:p>
      <w:pPr>
        <w:pStyle w:val="Code"/>
        <w:shd w:fill="F3F4F6" w:color="auto" w:val="clear"/>
        <w:spacing w:after="170" w:before="0" w:line="260"/>
        <w:ind w:left="170" w:right="120"/>
      </w:pPr>
      <w:r>
        <w:rPr>
          <w:rFonts w:ascii="Consolas" w:cs="Consolas" w:eastAsia="Consolas" w:hAnsi="Consolas"/>
          <w:sz w:val="17"/>
          <w:szCs w:val="17"/>
        </w:rPr>
        <w:t xml:space="preserve"># Ahora:  "customers":1 , "products":1</w:t>
      </w:r>
    </w:p>
    <w:p>
      <w:pPr>
        <w:spacing w:after="60"/>
        <w:ind w:left="470" w:hanging="360"/>
      </w:pPr>
      <w:r>
        <w:rPr>
          <w:b/>
          <w:bCs/>
        </w:rPr>
        <w:t xml:space="preserve">4.  </w:t>
      </w:r>
      <w:r>
        <w:t xml:space="preserve">Consultar la partición de clientes con Query (nunca Scan):</w:t>
      </w:r>
    </w:p>
    <w:p>
      <w:pPr>
        <w:pStyle w:val="Code"/>
        <w:shd w:fill="F3F4F6" w:color="auto" w:val="clear"/>
        <w:spacing w:after="0" w:before="90" w:line="260"/>
        <w:ind w:left="170" w:right="120"/>
      </w:pPr>
      <w:r>
        <w:rPr>
          <w:rFonts w:ascii="Consolas" w:cs="Consolas" w:eastAsia="Consolas" w:hAnsi="Consolas"/>
          <w:sz w:val="17"/>
          <w:szCs w:val="17"/>
        </w:rPr>
        <w:t xml:space="preserve">@'</w:t>
      </w:r>
    </w:p>
    <w:p>
      <w:pPr>
        <w:pStyle w:val="Code"/>
        <w:shd w:fill="F3F4F6" w:color="auto" w:val="clear"/>
        <w:spacing w:after="0" w:before="0" w:line="260"/>
        <w:ind w:left="170" w:right="120"/>
      </w:pPr>
      <w:r>
        <w:rPr>
          <w:rFonts w:ascii="Consolas" w:cs="Consolas" w:eastAsia="Consolas" w:hAnsi="Consolas"/>
          <w:sz w:val="17"/>
          <w:szCs w:val="17"/>
        </w:rPr>
        <w:t xml:space="preserve">{ ":pk": {"S": "TENANT#demo#CUSTOMERS"} }</w:t>
      </w:r>
    </w:p>
    <w:p>
      <w:pPr>
        <w:pStyle w:val="Code"/>
        <w:shd w:fill="F3F4F6" w:color="auto" w:val="clear"/>
        <w:spacing w:after="0" w:before="0" w:line="260"/>
        <w:ind w:left="170" w:right="120"/>
      </w:pPr>
      <w:r>
        <w:rPr>
          <w:rFonts w:ascii="Consolas" w:cs="Consolas" w:eastAsia="Consolas" w:hAnsi="Consolas"/>
          <w:sz w:val="17"/>
          <w:szCs w:val="17"/>
        </w:rPr>
        <w:t xml:space="preserve">'@ | Set-Content -Encoding utf8 pk.json</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aws --endpoint-url http://localhost:4566 dynamodb query --table-name nexora-local `</w:t>
      </w:r>
    </w:p>
    <w:p>
      <w:pPr>
        <w:pStyle w:val="Code"/>
        <w:shd w:fill="F3F4F6" w:color="auto" w:val="clear"/>
        <w:spacing w:after="0" w:before="0" w:line="260"/>
        <w:ind w:left="170" w:right="120"/>
      </w:pPr>
      <w:r>
        <w:rPr>
          <w:rFonts w:ascii="Consolas" w:cs="Consolas" w:eastAsia="Consolas" w:hAnsi="Consolas"/>
          <w:sz w:val="17"/>
          <w:szCs w:val="17"/>
        </w:rPr>
        <w:t xml:space="preserve">  --key-condition-expression "PK = :pk" `</w:t>
      </w:r>
    </w:p>
    <w:p>
      <w:pPr>
        <w:pStyle w:val="Code"/>
        <w:shd w:fill="F3F4F6" w:color="auto" w:val="clear"/>
        <w:spacing w:after="170" w:before="0" w:line="260"/>
        <w:ind w:left="170" w:right="120"/>
      </w:pPr>
      <w:r>
        <w:rPr>
          <w:rFonts w:ascii="Consolas" w:cs="Consolas" w:eastAsia="Consolas" w:hAnsi="Consolas"/>
          <w:sz w:val="17"/>
          <w:szCs w:val="17"/>
        </w:rPr>
        <w:t xml:space="preserve">  --expression-attribute-values file://pk.json</w:t>
      </w:r>
    </w:p>
    <w:p>
      <w:pPr>
        <w:spacing w:after="120"/>
      </w:pPr>
      <w:r>
        <w:rPr>
          <w:b/>
          <w:bCs/>
        </w:rPr>
        <w:t xml:space="preserve">Conversación: </w:t>
      </w:r>
      <w:r>
        <w:t xml:space="preserve">el prefijo </w:t>
      </w:r>
      <w:r>
        <w:rPr>
          <w:rFonts w:ascii="Consolas" w:cs="Consolas" w:eastAsia="Consolas" w:hAnsi="Consolas"/>
          <w:sz w:val="18"/>
          <w:szCs w:val="18"/>
        </w:rPr>
        <w:t xml:space="preserve">TENANT#demo</w:t>
      </w:r>
      <w:r>
        <w:t xml:space="preserve"> es la base del aislamiento, pero hoy es solo una convención de claves. La regla que </w:t>
      </w:r>
      <w:r>
        <w:rPr>
          <w:i/>
          <w:iCs/>
        </w:rPr>
        <w:t xml:space="preserve">impide</w:t>
      </w:r>
      <w:r>
        <w:t xml:space="preserve"> que un tenant lea la partición de otro vivirá en Cognito (identidad) más la capa de repositorio de la API, en las semanas 2 y 3. Por eso el gate G1 del roadmap se llama “aislamiento tenant”.</w:t>
      </w:r>
    </w:p>
    <w:p>
      <w:pPr>
        <w:spacing w:after="120"/>
      </w:pPr>
      <w:r>
        <w:rPr>
          <w:b/>
          <w:bCs/>
        </w:rPr>
        <w:t xml:space="preserve">Evidencia: </w:t>
      </w:r>
      <w:r>
        <w:t xml:space="preserve">salida del put-item, del dashboard con los contadores en 1 y del query.</w:t>
      </w:r>
    </w:p>
    <w:p>
      <w:pPr>
        <w:pStyle w:val="Heading2"/>
      </w:pPr>
      <w:r>
        <w:t xml:space="preserve">8.3 Laboratorio C — Error intencional y corrección</w:t>
      </w:r>
    </w:p>
    <w:p>
      <w:pPr>
        <w:spacing w:after="60"/>
        <w:ind w:left="470" w:hanging="360"/>
      </w:pPr>
      <w:r>
        <w:rPr>
          <w:b/>
          <w:bCs/>
        </w:rPr>
        <w:t xml:space="preserve">1.  </w:t>
      </w:r>
      <w:r>
        <w:t xml:space="preserve">Detener Floci y volver a pedir el dashboard.</w:t>
      </w:r>
    </w:p>
    <w:p>
      <w:pPr>
        <w:pStyle w:val="Code"/>
        <w:shd w:fill="F3F4F6" w:color="auto" w:val="clear"/>
        <w:spacing w:after="0" w:before="90" w:line="260"/>
        <w:ind w:left="170" w:right="120"/>
      </w:pPr>
      <w:r>
        <w:rPr>
          <w:rFonts w:ascii="Consolas" w:cs="Consolas" w:eastAsia="Consolas" w:hAnsi="Consolas"/>
          <w:sz w:val="17"/>
          <w:szCs w:val="17"/>
        </w:rPr>
        <w:t xml:space="preserve">docker compose stop floci</w:t>
      </w:r>
    </w:p>
    <w:p>
      <w:pPr>
        <w:pStyle w:val="Code"/>
        <w:shd w:fill="F3F4F6" w:color="auto" w:val="clear"/>
        <w:spacing w:after="0" w:before="0" w:line="260"/>
        <w:ind w:left="170" w:right="120"/>
      </w:pPr>
      <w:r>
        <w:rPr>
          <w:rFonts w:ascii="Consolas" w:cs="Consolas" w:eastAsia="Consolas" w:hAnsi="Consolas"/>
          <w:sz w:val="17"/>
          <w:szCs w:val="17"/>
        </w:rPr>
        <w:t xml:space="preserve">curl http://localhost:3000/api/v1/dashboard</w:t>
      </w:r>
    </w:p>
    <w:p>
      <w:pPr>
        <w:pStyle w:val="Code"/>
        <w:shd w:fill="F3F4F6" w:color="auto" w:val="clear"/>
        <w:spacing w:after="0" w:before="0" w:line="260"/>
        <w:ind w:left="170" w:right="120"/>
      </w:pPr>
      <w:r>
        <w:rPr>
          <w:rFonts w:ascii="Consolas" w:cs="Consolas" w:eastAsia="Consolas" w:hAnsi="Consolas"/>
          <w:sz w:val="17"/>
          <w:szCs w:val="17"/>
        </w:rPr>
        <w:t xml:space="preserve"># Esperado:  HTTP 503</w:t>
      </w:r>
    </w:p>
    <w:p>
      <w:pPr>
        <w:pStyle w:val="Code"/>
        <w:shd w:fill="F3F4F6" w:color="auto" w:val="clear"/>
        <w:spacing w:after="0" w:before="0" w:line="260"/>
        <w:ind w:left="170" w:right="120"/>
      </w:pPr>
      <w:r>
        <w:rPr>
          <w:rFonts w:ascii="Consolas" w:cs="Consolas" w:eastAsia="Consolas" w:hAnsi="Consolas"/>
          <w:sz w:val="17"/>
          <w:szCs w:val="17"/>
        </w:rPr>
        <w:t xml:space="preserve">#   {"code":"INFRASTRUCTURE_UNAVAILABLE","message":"DynamoDB is not available yet"}</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curl http://localhost:3000/health</w:t>
      </w:r>
    </w:p>
    <w:p>
      <w:pPr>
        <w:pStyle w:val="Code"/>
        <w:shd w:fill="F3F4F6" w:color="auto" w:val="clear"/>
        <w:spacing w:after="170" w:before="0" w:line="260"/>
        <w:ind w:left="170" w:right="120"/>
      </w:pPr>
      <w:r>
        <w:rPr>
          <w:rFonts w:ascii="Consolas" w:cs="Consolas" w:eastAsia="Consolas" w:hAnsi="Consolas"/>
          <w:sz w:val="17"/>
          <w:szCs w:val="17"/>
        </w:rPr>
        <w:t xml:space="preserve"># Sigue 200: /health no toca DynamoDB</w:t>
      </w:r>
    </w:p>
    <w:p>
      <w:pPr>
        <w:spacing w:after="60"/>
        <w:ind w:left="470" w:hanging="360"/>
      </w:pPr>
      <w:r>
        <w:rPr>
          <w:b/>
          <w:bCs/>
        </w:rPr>
        <w:t xml:space="preserve">2.  </w:t>
      </w:r>
      <w:r>
        <w:t xml:space="preserve">Reiniciar Floci y confirmar que el dashboard vuelve a 200.</w:t>
      </w:r>
    </w:p>
    <w:p>
      <w:pPr>
        <w:pStyle w:val="Code"/>
        <w:shd w:fill="F3F4F6" w:color="auto" w:val="clear"/>
        <w:spacing w:after="170" w:before="90" w:line="260"/>
        <w:ind w:left="170" w:right="120"/>
      </w:pPr>
      <w:r>
        <w:rPr>
          <w:rFonts w:ascii="Consolas" w:cs="Consolas" w:eastAsia="Consolas" w:hAnsi="Consolas"/>
          <w:sz w:val="17"/>
          <w:szCs w:val="17"/>
        </w:rPr>
        <w:t xml:space="preserve">docker compose start floci</w:t>
      </w:r>
    </w:p>
    <w:p>
      <w:pPr>
        <w:spacing w:after="60"/>
        <w:ind w:left="470" w:hanging="360"/>
      </w:pPr>
      <w:r>
        <w:rPr>
          <w:b/>
          <w:bCs/>
        </w:rPr>
        <w:t xml:space="preserve">3.  </w:t>
      </w:r>
      <w:r>
        <w:t xml:space="preserve">Abrir apps/api/src/config.ts y apps/api/test/app.test.ts y leer juntos el salvaguarda de credenciales. Ejecutar las pruebas:</w:t>
      </w:r>
    </w:p>
    <w:p>
      <w:pPr>
        <w:pStyle w:val="Code"/>
        <w:shd w:fill="F3F4F6" w:color="auto" w:val="clear"/>
        <w:spacing w:after="0" w:before="90" w:line="260"/>
        <w:ind w:left="170" w:right="120"/>
      </w:pPr>
      <w:r>
        <w:rPr>
          <w:rFonts w:ascii="Consolas" w:cs="Consolas" w:eastAsia="Consolas" w:hAnsi="Consolas"/>
          <w:sz w:val="17"/>
          <w:szCs w:val="17"/>
        </w:rPr>
        <w:t xml:space="preserve">bun run test</w:t>
      </w:r>
    </w:p>
    <w:p>
      <w:pPr>
        <w:pStyle w:val="Code"/>
        <w:shd w:fill="F3F4F6" w:color="auto" w:val="clear"/>
        <w:spacing w:after="0" w:before="0" w:line="260"/>
        <w:ind w:left="170" w:right="120"/>
      </w:pPr>
      <w:r>
        <w:rPr>
          <w:rFonts w:ascii="Consolas" w:cs="Consolas" w:eastAsia="Consolas" w:hAnsi="Consolas"/>
          <w:sz w:val="17"/>
          <w:szCs w:val="17"/>
        </w:rPr>
        <w:t xml:space="preserve"># La prueba "rejects static AWS credentials in production" confirma que</w:t>
      </w:r>
    </w:p>
    <w:p>
      <w:pPr>
        <w:pStyle w:val="Code"/>
        <w:shd w:fill="F3F4F6" w:color="auto" w:val="clear"/>
        <w:spacing w:after="170" w:before="0" w:line="260"/>
        <w:ind w:left="170" w:right="120"/>
      </w:pPr>
      <w:r>
        <w:rPr>
          <w:rFonts w:ascii="Consolas" w:cs="Consolas" w:eastAsia="Consolas" w:hAnsi="Consolas"/>
          <w:sz w:val="17"/>
          <w:szCs w:val="17"/>
        </w:rPr>
        <w:t xml:space="preserve"># loadConfig lanza:  "Static AWS credentials are forbidden in production..."</w:t>
      </w:r>
    </w:p>
    <w:p>
      <w:pPr>
        <w:spacing w:after="120"/>
      </w:pPr>
      <w:r>
        <w:rPr>
          <w:b/>
          <w:bCs/>
        </w:rPr>
        <w:t xml:space="preserve">Lectura del error: </w:t>
      </w:r>
      <w:r>
        <w:t xml:space="preserve">¿por qué es correcto que la API responda 503 en vez de un 500 con el detalle de la excepción? ¿Qué pasaría en AWS si una Lambda llevara claves estáticas en sus variables de entorno?</w:t>
      </w:r>
    </w:p>
    <w:p>
      <w:pPr>
        <w:pStyle w:val="Heading2"/>
      </w:pPr>
      <w:r>
        <w:t xml:space="preserve">8.4 Laboratorio D — Infraestructura como código</w:t>
      </w:r>
    </w:p>
    <w:p>
      <w:pPr>
        <w:pStyle w:val="ListParagraph"/>
        <w:numPr>
          <w:ilvl w:val="0"/>
          <w:numId w:val="5"/>
        </w:numPr>
        <w:spacing w:after="70"/>
      </w:pPr>
      <w:r>
        <w:t xml:space="preserve">Ejecutar terraform plan sin cambios y confirmar el código de salida 0.</w:t>
      </w:r>
    </w:p>
    <w:p>
      <w:pPr>
        <w:pStyle w:val="ListParagraph"/>
        <w:numPr>
          <w:ilvl w:val="0"/>
          <w:numId w:val="5"/>
        </w:numPr>
        <w:spacing w:after="70"/>
      </w:pPr>
      <w:r>
        <w:t xml:space="preserve">Cambiar el valor de la etiqueta owner en infra/terraform (o en un .tfvars local), ejecutar plan y leer el diff; luego revertir.</w:t>
      </w:r>
    </w:p>
    <w:p>
      <w:pPr>
        <w:pStyle w:val="ListParagraph"/>
        <w:numPr>
          <w:ilvl w:val="0"/>
          <w:numId w:val="5"/>
        </w:numPr>
        <w:spacing w:after="70"/>
      </w:pPr>
      <w:r>
        <w:t xml:space="preserve">Validar la infraestructura de laboratorio sin backend ni credenciales:</w:t>
      </w:r>
    </w:p>
    <w:p>
      <w:pPr>
        <w:pStyle w:val="Code"/>
        <w:shd w:fill="F3F4F6" w:color="auto" w:val="clear"/>
        <w:spacing w:after="0" w:before="90" w:line="260"/>
        <w:ind w:left="170" w:right="120"/>
      </w:pPr>
      <w:r>
        <w:rPr>
          <w:rFonts w:ascii="Consolas" w:cs="Consolas" w:eastAsia="Consolas" w:hAnsi="Consolas"/>
          <w:sz w:val="17"/>
          <w:szCs w:val="17"/>
        </w:rPr>
        <w:t xml:space="preserve">terraform -chdir=infra/terraform plan -detailed-exitcode</w:t>
      </w:r>
    </w:p>
    <w:p>
      <w:pPr>
        <w:pStyle w:val="Code"/>
        <w:shd w:fill="F3F4F6" w:color="auto" w:val="clear"/>
        <w:spacing w:after="0" w:before="0" w:line="260"/>
        <w:ind w:left="170" w:right="120"/>
      </w:pPr>
      <w:r>
        <w:rPr>
          <w:rFonts w:ascii="Consolas" w:cs="Consolas" w:eastAsia="Consolas" w:hAnsi="Consolas"/>
          <w:sz w:val="17"/>
          <w:szCs w:val="17"/>
        </w:rPr>
        <w:t xml:space="preserve"> </w:t>
      </w:r>
    </w:p>
    <w:p>
      <w:pPr>
        <w:pStyle w:val="Code"/>
        <w:shd w:fill="F3F4F6" w:color="auto" w:val="clear"/>
        <w:spacing w:after="0" w:before="0" w:line="260"/>
        <w:ind w:left="170" w:right="120"/>
      </w:pPr>
      <w:r>
        <w:rPr>
          <w:rFonts w:ascii="Consolas" w:cs="Consolas" w:eastAsia="Consolas" w:hAnsi="Consolas"/>
          <w:sz w:val="17"/>
          <w:szCs w:val="17"/>
        </w:rPr>
        <w:t xml:space="preserve">terraform -chdir=infra/aws/app init -backend=false</w:t>
      </w:r>
    </w:p>
    <w:p>
      <w:pPr>
        <w:pStyle w:val="Code"/>
        <w:shd w:fill="F3F4F6" w:color="auto" w:val="clear"/>
        <w:spacing w:after="170" w:before="0" w:line="260"/>
        <w:ind w:left="170" w:right="120"/>
      </w:pPr>
      <w:r>
        <w:rPr>
          <w:rFonts w:ascii="Consolas" w:cs="Consolas" w:eastAsia="Consolas" w:hAnsi="Consolas"/>
          <w:sz w:val="17"/>
          <w:szCs w:val="17"/>
        </w:rPr>
        <w:t xml:space="preserve">terraform -chdir=infra/aws/app validate</w:t>
      </w:r>
    </w:p>
    <w:p>
      <w:pPr>
        <w:spacing w:after="120"/>
      </w:pPr>
      <w:r>
        <w:rPr>
          <w:b/>
          <w:bCs/>
        </w:rPr>
        <w:t xml:space="preserve">Aclaración: </w:t>
      </w:r>
      <w:r>
        <w:t xml:space="preserve">el plan real de infra/aws/app necesita una cuenta AWS y el bucket de estado; en la Clase 1 no se ejecuta. Solo se valida la sintaxis y la coherencia.</w:t>
      </w:r>
    </w:p>
    <w:p>
      <w:pPr>
        <w:pStyle w:val="Heading2"/>
      </w:pPr>
      <w:r>
        <w:t xml:space="preserve">8.5 Entregable del laboratorio</w:t>
      </w:r>
    </w:p>
    <w:p>
      <w:pPr>
        <w:spacing w:after="120"/>
      </w:pPr>
      <w:r>
        <w:t xml:space="preserve">La mentee entrega un solo documento con: captura del dashboard en estado “ready”; salida de describe-table; salida del query de la partición de clientes; captura del 503 provocado y luego corregido; y el terraform plan con código de salida 0. Cada evidencia va acompañada de una frase que la conecta con un concepto de AWS.</w:t>
      </w:r>
    </w:p>
    <w:p>
      <w:pPr>
        <w:pStyle w:val="Heading1"/>
      </w:pPr>
      <w:r>
        <w:t xml:space="preserve">9. Preguntas de comprensión</w:t>
      </w:r>
    </w:p>
    <w:p>
      <w:pPr>
        <w:pStyle w:val="Lead"/>
        <w:spacing w:after="160"/>
      </w:pPr>
      <w:r>
        <w:t xml:space="preserve">Diez preguntas para verificar que la sesión se entendió. Se incluye una respuesta breve para el mentor.</w:t>
      </w:r>
    </w:p>
    <w:p>
      <w:pPr>
        <w:spacing w:after="40" w:before="100"/>
      </w:pPr>
      <w:r>
        <w:rPr>
          <w:b/>
          <w:bCs/>
          <w:color w:val="1F3864"/>
        </w:rPr>
        <w:t xml:space="preserve">1. </w:t>
      </w:r>
      <w:r>
        <w:rPr>
          <w:b/>
          <w:bCs/>
        </w:rPr>
        <w:t xml:space="preserve">¿Qué diferencia hay entre una aplicación SaaS y una para un solo cliente?</w:t>
      </w:r>
    </w:p>
    <w:p>
      <w:pPr>
        <w:spacing w:after="100"/>
        <w:ind w:left="260"/>
      </w:pPr>
      <w:r>
        <w:rPr>
          <w:i/>
          <w:iCs/>
          <w:color w:val="5B6470"/>
        </w:rPr>
        <w:t xml:space="preserve">Respuesta modelo. </w:t>
      </w:r>
      <w:r>
        <w:t xml:space="preserve">En SaaS, una instancia y una base de código atienden a muchos tenants y cada uno solo ve sus datos; el despliegue y la operación son únicos. En single-tenant se instala y opera una copia por cliente.</w:t>
      </w:r>
    </w:p>
    <w:p>
      <w:pPr>
        <w:spacing w:after="40" w:before="100"/>
      </w:pPr>
      <w:r>
        <w:rPr>
          <w:b/>
          <w:bCs/>
          <w:color w:val="1F3864"/>
        </w:rPr>
        <w:t xml:space="preserve">2. </w:t>
      </w:r>
      <w:r>
        <w:rPr>
          <w:b/>
          <w:bCs/>
        </w:rPr>
        <w:t xml:space="preserve">¿Por qué es necesario el tenantId?</w:t>
      </w:r>
    </w:p>
    <w:p>
      <w:pPr>
        <w:spacing w:after="100"/>
        <w:ind w:left="260"/>
      </w:pPr>
      <w:r>
        <w:rPr>
          <w:i/>
          <w:iCs/>
          <w:color w:val="5B6470"/>
        </w:rPr>
        <w:t xml:space="preserve">Respuesta modelo. </w:t>
      </w:r>
      <w:r>
        <w:t xml:space="preserve">Para particionar y filtrar los datos por empresa desde el primer día. En Nexora es el prefijo TENANT#demo de la clave de partición; evita rediseñar contratos al pasar a multiempresa.</w:t>
      </w:r>
    </w:p>
    <w:p>
      <w:pPr>
        <w:spacing w:after="40" w:before="100"/>
      </w:pPr>
      <w:r>
        <w:rPr>
          <w:b/>
          <w:bCs/>
          <w:color w:val="1F3864"/>
        </w:rPr>
        <w:t xml:space="preserve">3. </w:t>
      </w:r>
      <w:r>
        <w:rPr>
          <w:b/>
          <w:bCs/>
        </w:rPr>
        <w:t xml:space="preserve">¿Qué problema resuelve Cognito?</w:t>
      </w:r>
    </w:p>
    <w:p>
      <w:pPr>
        <w:spacing w:after="100"/>
        <w:ind w:left="260"/>
      </w:pPr>
      <w:r>
        <w:rPr>
          <w:i/>
          <w:iCs/>
          <w:color w:val="5B6470"/>
        </w:rPr>
        <w:t xml:space="preserve">Respuesta modelo. </w:t>
      </w:r>
      <w:r>
        <w:t xml:space="preserve">La identidad: registro, inicio de sesión, verificación, MFA y emisión de tokens (JWT), sin construir ni operar ese servicio. Hoy no está en el repo y la API de lectura es pública.</w:t>
      </w:r>
    </w:p>
    <w:p>
      <w:pPr>
        <w:spacing w:after="40" w:before="100"/>
      </w:pPr>
      <w:r>
        <w:rPr>
          <w:b/>
          <w:bCs/>
          <w:color w:val="1F3864"/>
        </w:rPr>
        <w:t xml:space="preserve">4. </w:t>
      </w:r>
      <w:r>
        <w:rPr>
          <w:b/>
          <w:bCs/>
        </w:rPr>
        <w:t xml:space="preserve">¿Qué diferencia hay entre Lambda y EC2?</w:t>
      </w:r>
    </w:p>
    <w:p>
      <w:pPr>
        <w:spacing w:after="100"/>
        <w:ind w:left="260"/>
      </w:pPr>
      <w:r>
        <w:rPr>
          <w:i/>
          <w:iCs/>
          <w:color w:val="5B6470"/>
        </w:rPr>
        <w:t xml:space="preserve">Respuesta modelo. </w:t>
      </w:r>
      <w:r>
        <w:t xml:space="preserve">Lambda ejecuta funciones bajo demanda, sin servidores que administrar, con pago por invocación y escalado automático. EC2 es una máquina virtual que se aprovisiona, parchea y paga mientras está encendida.</w:t>
      </w:r>
    </w:p>
    <w:p>
      <w:pPr>
        <w:spacing w:after="40" w:before="100"/>
      </w:pPr>
      <w:r>
        <w:rPr>
          <w:b/>
          <w:bCs/>
          <w:color w:val="1F3864"/>
        </w:rPr>
        <w:t xml:space="preserve">5. </w:t>
      </w:r>
      <w:r>
        <w:rPr>
          <w:b/>
          <w:bCs/>
        </w:rPr>
        <w:t xml:space="preserve">¿Qué almacena DynamoDB en Nexora?</w:t>
      </w:r>
    </w:p>
    <w:p>
      <w:pPr>
        <w:spacing w:after="100"/>
        <w:ind w:left="260"/>
      </w:pPr>
      <w:r>
        <w:rPr>
          <w:i/>
          <w:iCs/>
          <w:color w:val="5B6470"/>
        </w:rPr>
        <w:t xml:space="preserve">Respuesta modelo. </w:t>
      </w:r>
      <w:r>
        <w:t xml:space="preserve">Ítems con clave de partición y de ordenación: configuración, usuarios, clientes, productos, ventas, compras, movimientos, notificaciones y auditoría, todos con prefijo de tenant.</w:t>
      </w:r>
    </w:p>
    <w:p>
      <w:pPr>
        <w:spacing w:after="40" w:before="100"/>
      </w:pPr>
      <w:r>
        <w:rPr>
          <w:b/>
          <w:bCs/>
          <w:color w:val="1F3864"/>
        </w:rPr>
        <w:t xml:space="preserve">6. </w:t>
      </w:r>
      <w:r>
        <w:rPr>
          <w:b/>
          <w:bCs/>
        </w:rPr>
        <w:t xml:space="preserve">¿Para qué sirve API Gateway?</w:t>
      </w:r>
    </w:p>
    <w:p>
      <w:pPr>
        <w:spacing w:after="100"/>
        <w:ind w:left="260"/>
      </w:pPr>
      <w:r>
        <w:rPr>
          <w:i/>
          <w:iCs/>
          <w:color w:val="5B6470"/>
        </w:rPr>
        <w:t xml:space="preserve">Respuesta modelo. </w:t>
      </w:r>
      <w:r>
        <w:t xml:space="preserve">Es la puerta de entrada HTTP administrada: enruta las peticiones a la Lambda, aplica throttling y registra accesos. En el laboratorio expone solo GET /health y GET /api/v1/dashboard.</w:t>
      </w:r>
    </w:p>
    <w:p>
      <w:pPr>
        <w:spacing w:after="40" w:before="100"/>
      </w:pPr>
      <w:r>
        <w:rPr>
          <w:b/>
          <w:bCs/>
          <w:color w:val="1F3864"/>
        </w:rPr>
        <w:t xml:space="preserve">7. </w:t>
      </w:r>
      <w:r>
        <w:rPr>
          <w:b/>
          <w:bCs/>
        </w:rPr>
        <w:t xml:space="preserve">¿Por qué se usa Floci antes de AWS?</w:t>
      </w:r>
    </w:p>
    <w:p>
      <w:pPr>
        <w:spacing w:after="100"/>
        <w:ind w:left="260"/>
      </w:pPr>
      <w:r>
        <w:rPr>
          <w:i/>
          <w:iCs/>
          <w:color w:val="5B6470"/>
        </w:rPr>
        <w:t xml:space="preserve">Respuesta modelo. </w:t>
      </w:r>
      <w:r>
        <w:t xml:space="preserve">Para desarrollar, probar y aprender sin costo ni credenciales reales, iterando rápido. No es paridad total: la compatibilidad crítica se valida luego en una cuenta sandbox.</w:t>
      </w:r>
    </w:p>
    <w:p>
      <w:pPr>
        <w:spacing w:after="40" w:before="100"/>
      </w:pPr>
      <w:r>
        <w:rPr>
          <w:b/>
          <w:bCs/>
          <w:color w:val="1F3864"/>
        </w:rPr>
        <w:t xml:space="preserve">8. </w:t>
      </w:r>
      <w:r>
        <w:rPr>
          <w:b/>
          <w:bCs/>
        </w:rPr>
        <w:t xml:space="preserve">¿Qué es el principio de mínimo privilegio?</w:t>
      </w:r>
    </w:p>
    <w:p>
      <w:pPr>
        <w:spacing w:after="100"/>
        <w:ind w:left="260"/>
      </w:pPr>
      <w:r>
        <w:rPr>
          <w:i/>
          <w:iCs/>
          <w:color w:val="5B6470"/>
        </w:rPr>
        <w:t xml:space="preserve">Respuesta modelo. </w:t>
      </w:r>
      <w:r>
        <w:t xml:space="preserve">Conceder solo los permisos estrictamente necesarios. El rol de la Lambda solo puede DescribeTable y Query sobre la tabla de Nexora, y escribir sus propios logs.</w:t>
      </w:r>
    </w:p>
    <w:p>
      <w:pPr>
        <w:spacing w:after="40" w:before="100"/>
      </w:pPr>
      <w:r>
        <w:rPr>
          <w:b/>
          <w:bCs/>
          <w:color w:val="1F3864"/>
        </w:rPr>
        <w:t xml:space="preserve">9. </w:t>
      </w:r>
      <w:r>
        <w:rPr>
          <w:b/>
          <w:bCs/>
        </w:rPr>
        <w:t xml:space="preserve">¿Qué información nunca debe subirse a Git?</w:t>
      </w:r>
    </w:p>
    <w:p>
      <w:pPr>
        <w:spacing w:after="100"/>
        <w:ind w:left="260"/>
      </w:pPr>
      <w:r>
        <w:rPr>
          <w:i/>
          <w:iCs/>
          <w:color w:val="5B6470"/>
        </w:rPr>
        <w:t xml:space="preserve">Respuesta modelo. </w:t>
      </w:r>
      <w:r>
        <w:t xml:space="preserve">AWS_ACCESS_KEY_ID, AWS_SECRET_ACCESS_KEY, AWS_SESSION_TOKEN y cualquier token o clave. El CI lo verifica con un git grep de patrones AKIA/ASIA, y config.ts refuerza la regla en producción.</w:t>
      </w:r>
    </w:p>
    <w:p>
      <w:pPr>
        <w:spacing w:after="40" w:before="100"/>
      </w:pPr>
      <w:r>
        <w:rPr>
          <w:b/>
          <w:bCs/>
          <w:color w:val="1F3864"/>
        </w:rPr>
        <w:t xml:space="preserve">10. </w:t>
      </w:r>
      <w:r>
        <w:rPr>
          <w:b/>
          <w:bCs/>
        </w:rPr>
        <w:t xml:space="preserve">¿Qué servicio ayuda a controlar costos y cómo se complementa?</w:t>
      </w:r>
    </w:p>
    <w:p>
      <w:pPr>
        <w:spacing w:after="100"/>
        <w:ind w:left="260"/>
      </w:pPr>
      <w:r>
        <w:rPr>
          <w:i/>
          <w:iCs/>
          <w:color w:val="5B6470"/>
        </w:rPr>
        <w:t xml:space="preserve">Respuesta modelo. </w:t>
      </w:r>
      <w:r>
        <w:t xml:space="preserve">AWS Budgets fija topes y avisa. Se apoya en Pricing Calculator (estimación previa) y Cost Explorer (análisis del gasto real). El teardown del laboratorio evita gasto ocioso.</w:t>
      </w:r>
    </w:p>
    <w:p>
      <w:pPr>
        <w:pStyle w:val="Heading1"/>
      </w:pPr>
      <w:r>
        <w:t xml:space="preserve">10. Preguntas tipo certificación (CLF-C02)</w:t>
      </w:r>
    </w:p>
    <w:p>
      <w:pPr>
        <w:pStyle w:val="Lead"/>
        <w:spacing w:after="160"/>
      </w:pPr>
      <w:r>
        <w:t xml:space="preserve">Catorce preguntas de opción múltiple con respuesta y justificación. Las cinco primeras son las de la propuesta original.</w:t>
      </w:r>
    </w:p>
    <w:p>
      <w:pPr>
        <w:spacing w:after="50" w:before="120"/>
      </w:pPr>
      <w:r>
        <w:rPr>
          <w:b/>
          <w:bCs/>
          <w:color w:val="1F3864"/>
        </w:rPr>
        <w:t xml:space="preserve">Pregunta 1. </w:t>
      </w:r>
      <w:r>
        <w:t xml:space="preserve">Una empresa quiere ejecutar código sin administrar servidores. ¿Qué servicio debe usar?</w:t>
      </w:r>
    </w:p>
    <w:p>
      <w:pPr>
        <w:spacing w:after="20"/>
        <w:ind w:left="260"/>
      </w:pPr>
      <w:r>
        <w:t xml:space="preserve">A. Amazon EC2</w:t>
      </w:r>
    </w:p>
    <w:p>
      <w:pPr>
        <w:spacing w:after="20"/>
        <w:ind w:left="260"/>
      </w:pPr>
      <w:r>
        <w:t xml:space="preserve">B. AWS Lambda</w:t>
      </w:r>
    </w:p>
    <w:p>
      <w:pPr>
        <w:spacing w:after="20"/>
        <w:ind w:left="260"/>
      </w:pPr>
      <w:r>
        <w:t xml:space="preserve">C. Amazon EBS</w:t>
      </w:r>
    </w:p>
    <w:p>
      <w:pPr>
        <w:spacing w:after="20"/>
        <w:ind w:left="260"/>
      </w:pPr>
      <w:r>
        <w:t xml:space="preserve">D. Amazon Route 53</w:t>
      </w:r>
    </w:p>
    <w:p>
      <w:pPr>
        <w:spacing w:after="40" w:before="40"/>
      </w:pPr>
      <w:r>
        <w:rPr>
          <w:b/>
          <w:bCs/>
          <w:color w:val="2E6B4F"/>
        </w:rPr>
        <w:t xml:space="preserve">Respuesta: </w:t>
      </w:r>
      <w:r>
        <w:rPr>
          <w:b/>
          <w:bCs/>
        </w:rPr>
        <w:t xml:space="preserve">B. AWS Lambda</w:t>
      </w:r>
    </w:p>
    <w:p>
      <w:pPr>
        <w:spacing w:after="140"/>
      </w:pPr>
      <w:r>
        <w:rPr>
          <w:i/>
          <w:iCs/>
          <w:color w:val="5B6470"/>
        </w:rPr>
        <w:t xml:space="preserve">Por qué: </w:t>
      </w:r>
      <w:r>
        <w:rPr>
          <w:i/>
          <w:iCs/>
          <w:color w:val="5B6470"/>
        </w:rPr>
        <w:t xml:space="preserve">Lambda es cómputo serverless: no se aprovisionan ni parchean servidores y se paga por invocación y duración.</w:t>
      </w:r>
    </w:p>
    <w:p>
      <w:pPr>
        <w:spacing w:after="50" w:before="120"/>
      </w:pPr>
      <w:r>
        <w:rPr>
          <w:b/>
          <w:bCs/>
          <w:color w:val="1F3864"/>
        </w:rPr>
        <w:t xml:space="preserve">Pregunta 2. </w:t>
      </w:r>
      <w:r>
        <w:t xml:space="preserve">¿Qué servicio permite administrar usuarios y autenticación para una aplicación?</w:t>
      </w:r>
    </w:p>
    <w:p>
      <w:pPr>
        <w:spacing w:after="20"/>
        <w:ind w:left="260"/>
      </w:pPr>
      <w:r>
        <w:t xml:space="preserve">A. Amazon Cognito</w:t>
      </w:r>
    </w:p>
    <w:p>
      <w:pPr>
        <w:spacing w:after="20"/>
        <w:ind w:left="260"/>
      </w:pPr>
      <w:r>
        <w:t xml:space="preserve">B. Amazon S3</w:t>
      </w:r>
    </w:p>
    <w:p>
      <w:pPr>
        <w:spacing w:after="20"/>
        <w:ind w:left="260"/>
      </w:pPr>
      <w:r>
        <w:t xml:space="preserve">C. AWS CloudTrail</w:t>
      </w:r>
    </w:p>
    <w:p>
      <w:pPr>
        <w:spacing w:after="20"/>
        <w:ind w:left="260"/>
      </w:pPr>
      <w:r>
        <w:t xml:space="preserve">D. Amazon Athena</w:t>
      </w:r>
    </w:p>
    <w:p>
      <w:pPr>
        <w:spacing w:after="40" w:before="40"/>
      </w:pPr>
      <w:r>
        <w:rPr>
          <w:b/>
          <w:bCs/>
          <w:color w:val="2E6B4F"/>
        </w:rPr>
        <w:t xml:space="preserve">Respuesta: </w:t>
      </w:r>
      <w:r>
        <w:rPr>
          <w:b/>
          <w:bCs/>
        </w:rPr>
        <w:t xml:space="preserve">A. Amazon Cognito</w:t>
      </w:r>
    </w:p>
    <w:p>
      <w:pPr>
        <w:spacing w:after="140"/>
      </w:pPr>
      <w:r>
        <w:rPr>
          <w:i/>
          <w:iCs/>
          <w:color w:val="5B6470"/>
        </w:rPr>
        <w:t xml:space="preserve">Por qué: </w:t>
      </w:r>
      <w:r>
        <w:rPr>
          <w:i/>
          <w:iCs/>
          <w:color w:val="5B6470"/>
        </w:rPr>
        <w:t xml:space="preserve">Cognito gestiona registro, inicio de sesión, MFA y tokens. S3 es almacenamiento, CloudTrail audita llamadas a la API de AWS y Athena consulta datos en S3 con SQL.</w:t>
      </w:r>
    </w:p>
    <w:p>
      <w:pPr>
        <w:spacing w:after="50" w:before="120"/>
      </w:pPr>
      <w:r>
        <w:rPr>
          <w:b/>
          <w:bCs/>
          <w:color w:val="1F3864"/>
        </w:rPr>
        <w:t xml:space="preserve">Pregunta 3. </w:t>
      </w:r>
      <w:r>
        <w:t xml:space="preserve">¿Qué herramienta permite estimar costos antes de desplegar?</w:t>
      </w:r>
    </w:p>
    <w:p>
      <w:pPr>
        <w:spacing w:after="20"/>
        <w:ind w:left="260"/>
      </w:pPr>
      <w:r>
        <w:t xml:space="preserve">A. Amazon CloudWatch</w:t>
      </w:r>
    </w:p>
    <w:p>
      <w:pPr>
        <w:spacing w:after="20"/>
        <w:ind w:left="260"/>
      </w:pPr>
      <w:r>
        <w:t xml:space="preserve">B. AWS Pricing Calculator</w:t>
      </w:r>
    </w:p>
    <w:p>
      <w:pPr>
        <w:spacing w:after="20"/>
        <w:ind w:left="260"/>
      </w:pPr>
      <w:r>
        <w:t xml:space="preserve">C. AWS IAM</w:t>
      </w:r>
    </w:p>
    <w:p>
      <w:pPr>
        <w:spacing w:after="20"/>
        <w:ind w:left="260"/>
      </w:pPr>
      <w:r>
        <w:t xml:space="preserve">D. Amazon CloudFront</w:t>
      </w:r>
    </w:p>
    <w:p>
      <w:pPr>
        <w:spacing w:after="40" w:before="40"/>
      </w:pPr>
      <w:r>
        <w:rPr>
          <w:b/>
          <w:bCs/>
          <w:color w:val="2E6B4F"/>
        </w:rPr>
        <w:t xml:space="preserve">Respuesta: </w:t>
      </w:r>
      <w:r>
        <w:rPr>
          <w:b/>
          <w:bCs/>
        </w:rPr>
        <w:t xml:space="preserve">B. AWS Pricing Calculator</w:t>
      </w:r>
    </w:p>
    <w:p>
      <w:pPr>
        <w:spacing w:after="140"/>
      </w:pPr>
      <w:r>
        <w:rPr>
          <w:i/>
          <w:iCs/>
          <w:color w:val="5B6470"/>
        </w:rPr>
        <w:t xml:space="preserve">Por qué: </w:t>
      </w:r>
      <w:r>
        <w:rPr>
          <w:i/>
          <w:iCs/>
          <w:color w:val="5B6470"/>
        </w:rPr>
        <w:t xml:space="preserve">Pricing Calculator produce una estimación previa. CloudWatch mide lo que ya corre, IAM gestiona permisos y CloudFront es una CDN.</w:t>
      </w:r>
    </w:p>
    <w:p>
      <w:pPr>
        <w:spacing w:after="50" w:before="120"/>
      </w:pPr>
      <w:r>
        <w:rPr>
          <w:b/>
          <w:bCs/>
          <w:color w:val="1F3864"/>
        </w:rPr>
        <w:t xml:space="preserve">Pregunta 4. </w:t>
      </w:r>
      <w:r>
        <w:t xml:space="preserve">¿Qué principio indica que cada identidad debe tener únicamente los permisos necesarios?</w:t>
      </w:r>
    </w:p>
    <w:p>
      <w:pPr>
        <w:spacing w:after="20"/>
        <w:ind w:left="260"/>
      </w:pPr>
      <w:r>
        <w:t xml:space="preserve">A. Alta disponibilidad</w:t>
      </w:r>
    </w:p>
    <w:p>
      <w:pPr>
        <w:spacing w:after="20"/>
        <w:ind w:left="260"/>
      </w:pPr>
      <w:r>
        <w:t xml:space="preserve">B. Elasticidad</w:t>
      </w:r>
    </w:p>
    <w:p>
      <w:pPr>
        <w:spacing w:after="20"/>
        <w:ind w:left="260"/>
      </w:pPr>
      <w:r>
        <w:t xml:space="preserve">C. Mínimo privilegio</w:t>
      </w:r>
    </w:p>
    <w:p>
      <w:pPr>
        <w:spacing w:after="20"/>
        <w:ind w:left="260"/>
      </w:pPr>
      <w:r>
        <w:t xml:space="preserve">D. Escalamiento horizontal</w:t>
      </w:r>
    </w:p>
    <w:p>
      <w:pPr>
        <w:spacing w:after="40" w:before="40"/>
      </w:pPr>
      <w:r>
        <w:rPr>
          <w:b/>
          <w:bCs/>
          <w:color w:val="2E6B4F"/>
        </w:rPr>
        <w:t xml:space="preserve">Respuesta: </w:t>
      </w:r>
      <w:r>
        <w:rPr>
          <w:b/>
          <w:bCs/>
        </w:rPr>
        <w:t xml:space="preserve">C. Mínimo privilegio</w:t>
      </w:r>
    </w:p>
    <w:p>
      <w:pPr>
        <w:spacing w:after="140"/>
      </w:pPr>
      <w:r>
        <w:rPr>
          <w:i/>
          <w:iCs/>
          <w:color w:val="5B6470"/>
        </w:rPr>
        <w:t xml:space="preserve">Por qué: </w:t>
      </w:r>
      <w:r>
        <w:rPr>
          <w:i/>
          <w:iCs/>
          <w:color w:val="5B6470"/>
        </w:rPr>
        <w:t xml:space="preserve">Es un principio de seguridad: se concede el permiso mínimo y se amplía solo cuando hay una necesidad demostrada.</w:t>
      </w:r>
    </w:p>
    <w:p>
      <w:pPr>
        <w:spacing w:after="50" w:before="120"/>
      </w:pPr>
      <w:r>
        <w:rPr>
          <w:b/>
          <w:bCs/>
          <w:color w:val="1F3864"/>
        </w:rPr>
        <w:t xml:space="preserve">Pregunta 5. </w:t>
      </w:r>
      <w:r>
        <w:t xml:space="preserve">¿Qué servicio usarías para almacenar objetos y archivos?</w:t>
      </w:r>
    </w:p>
    <w:p>
      <w:pPr>
        <w:spacing w:after="20"/>
        <w:ind w:left="260"/>
      </w:pPr>
      <w:r>
        <w:t xml:space="preserve">A. Amazon S3</w:t>
      </w:r>
    </w:p>
    <w:p>
      <w:pPr>
        <w:spacing w:after="20"/>
        <w:ind w:left="260"/>
      </w:pPr>
      <w:r>
        <w:t xml:space="preserve">B. Amazon DynamoDB</w:t>
      </w:r>
    </w:p>
    <w:p>
      <w:pPr>
        <w:spacing w:after="20"/>
        <w:ind w:left="260"/>
      </w:pPr>
      <w:r>
        <w:t xml:space="preserve">C. Amazon API Gateway</w:t>
      </w:r>
    </w:p>
    <w:p>
      <w:pPr>
        <w:spacing w:after="20"/>
        <w:ind w:left="260"/>
      </w:pPr>
      <w:r>
        <w:t xml:space="preserve">D. Amazon Cognito</w:t>
      </w:r>
    </w:p>
    <w:p>
      <w:pPr>
        <w:spacing w:after="40" w:before="40"/>
      </w:pPr>
      <w:r>
        <w:rPr>
          <w:b/>
          <w:bCs/>
          <w:color w:val="2E6B4F"/>
        </w:rPr>
        <w:t xml:space="preserve">Respuesta: </w:t>
      </w:r>
      <w:r>
        <w:rPr>
          <w:b/>
          <w:bCs/>
        </w:rPr>
        <w:t xml:space="preserve">A. Amazon S3</w:t>
      </w:r>
    </w:p>
    <w:p>
      <w:pPr>
        <w:spacing w:after="140"/>
      </w:pPr>
      <w:r>
        <w:rPr>
          <w:i/>
          <w:iCs/>
          <w:color w:val="5B6470"/>
        </w:rPr>
        <w:t xml:space="preserve">Por qué: </w:t>
      </w:r>
      <w:r>
        <w:rPr>
          <w:i/>
          <w:iCs/>
          <w:color w:val="5B6470"/>
        </w:rPr>
        <w:t xml:space="preserve">S3 es almacenamiento de objetos accesible por HTTP, con alta durabilidad. DynamoDB es NoSQL, API Gateway es entrada HTTP y Cognito es identidad.</w:t>
      </w:r>
    </w:p>
    <w:p>
      <w:pPr>
        <w:spacing w:after="50" w:before="120"/>
      </w:pPr>
      <w:r>
        <w:rPr>
          <w:b/>
          <w:bCs/>
          <w:color w:val="1F3864"/>
        </w:rPr>
        <w:t xml:space="preserve">Pregunta 6. </w:t>
      </w:r>
      <w:r>
        <w:t xml:space="preserve">¿Qué relación existe entre una Región de AWS y una Zona de Disponibilidad (AZ)?</w:t>
      </w:r>
    </w:p>
    <w:p>
      <w:pPr>
        <w:spacing w:after="20"/>
        <w:ind w:left="260"/>
      </w:pPr>
      <w:r>
        <w:t xml:space="preserve">A. Son sinónimos</w:t>
      </w:r>
    </w:p>
    <w:p>
      <w:pPr>
        <w:spacing w:after="20"/>
        <w:ind w:left="260"/>
      </w:pPr>
      <w:r>
        <w:t xml:space="preserve">B. Una Región contiene varias AZ aisladas entre sí</w:t>
      </w:r>
    </w:p>
    <w:p>
      <w:pPr>
        <w:spacing w:after="20"/>
        <w:ind w:left="260"/>
      </w:pPr>
      <w:r>
        <w:t xml:space="preserve">C. Una AZ contiene varias Regiones</w:t>
      </w:r>
    </w:p>
    <w:p>
      <w:pPr>
        <w:spacing w:after="20"/>
        <w:ind w:left="260"/>
      </w:pPr>
      <w:r>
        <w:t xml:space="preserve">D. Una AZ es una cuenta de AWS</w:t>
      </w:r>
    </w:p>
    <w:p>
      <w:pPr>
        <w:spacing w:after="40" w:before="40"/>
      </w:pPr>
      <w:r>
        <w:rPr>
          <w:b/>
          <w:bCs/>
          <w:color w:val="2E6B4F"/>
        </w:rPr>
        <w:t xml:space="preserve">Respuesta: </w:t>
      </w:r>
      <w:r>
        <w:rPr>
          <w:b/>
          <w:bCs/>
        </w:rPr>
        <w:t xml:space="preserve">B. Una Región contiene varias AZ aisladas entre sí</w:t>
      </w:r>
    </w:p>
    <w:p>
      <w:pPr>
        <w:spacing w:after="140"/>
      </w:pPr>
      <w:r>
        <w:rPr>
          <w:i/>
          <w:iCs/>
          <w:color w:val="5B6470"/>
        </w:rPr>
        <w:t xml:space="preserve">Por qué: </w:t>
      </w:r>
      <w:r>
        <w:rPr>
          <w:i/>
          <w:iCs/>
          <w:color w:val="5B6470"/>
        </w:rPr>
        <w:t xml:space="preserve">Una Región es geográfica; cada AZ es uno o más centros de datos independientes. Repartir cargas entre AZ da alta disponibilidad.</w:t>
      </w:r>
    </w:p>
    <w:p>
      <w:pPr>
        <w:spacing w:after="50" w:before="120"/>
      </w:pPr>
      <w:r>
        <w:rPr>
          <w:b/>
          <w:bCs/>
          <w:color w:val="1F3864"/>
        </w:rPr>
        <w:t xml:space="preserve">Pregunta 7. </w:t>
      </w:r>
      <w:r>
        <w:t xml:space="preserve">Con Lambda y DynamoDB, según el modelo de responsabilidad compartida, ¿de qué responde el cliente?</w:t>
      </w:r>
    </w:p>
    <w:p>
      <w:pPr>
        <w:spacing w:after="20"/>
        <w:ind w:left="260"/>
      </w:pPr>
      <w:r>
        <w:t xml:space="preserve">A. Del hardware y la red física</w:t>
      </w:r>
    </w:p>
    <w:p>
      <w:pPr>
        <w:spacing w:after="20"/>
        <w:ind w:left="260"/>
      </w:pPr>
      <w:r>
        <w:t xml:space="preserve">B. Del parcheo del hipervisor</w:t>
      </w:r>
    </w:p>
    <w:p>
      <w:pPr>
        <w:spacing w:after="20"/>
        <w:ind w:left="260"/>
      </w:pPr>
      <w:r>
        <w:t xml:space="preserve">C. De su código, permisos IAM, datos y configuración</w:t>
      </w:r>
    </w:p>
    <w:p>
      <w:pPr>
        <w:spacing w:after="20"/>
        <w:ind w:left="260"/>
      </w:pPr>
      <w:r>
        <w:t xml:space="preserve">D. De la disponibilidad del servicio administrado</w:t>
      </w:r>
    </w:p>
    <w:p>
      <w:pPr>
        <w:spacing w:after="40" w:before="40"/>
      </w:pPr>
      <w:r>
        <w:rPr>
          <w:b/>
          <w:bCs/>
          <w:color w:val="2E6B4F"/>
        </w:rPr>
        <w:t xml:space="preserve">Respuesta: </w:t>
      </w:r>
      <w:r>
        <w:rPr>
          <w:b/>
          <w:bCs/>
        </w:rPr>
        <w:t xml:space="preserve">C. De su código, permisos IAM, datos y configuración</w:t>
      </w:r>
    </w:p>
    <w:p>
      <w:pPr>
        <w:spacing w:after="140"/>
      </w:pPr>
      <w:r>
        <w:rPr>
          <w:i/>
          <w:iCs/>
          <w:color w:val="5B6470"/>
        </w:rPr>
        <w:t xml:space="preserve">Por qué: </w:t>
      </w:r>
      <w:r>
        <w:rPr>
          <w:i/>
          <w:iCs/>
          <w:color w:val="5B6470"/>
        </w:rPr>
        <w:t xml:space="preserve">En servicios administrados, AWS opera la infraestructura y el runtime; el cliente sigue siendo responsable de su código, sus datos, sus permisos y su configuración.</w:t>
      </w:r>
    </w:p>
    <w:p>
      <w:pPr>
        <w:spacing w:after="50" w:before="120"/>
      </w:pPr>
      <w:r>
        <w:rPr>
          <w:b/>
          <w:bCs/>
          <w:color w:val="1F3864"/>
        </w:rPr>
        <w:t xml:space="preserve">Pregunta 8. </w:t>
      </w:r>
      <w:r>
        <w:t xml:space="preserve">¿Qué servicio entrega contenido con baja latencia global y HTTPS desde ubicaciones cercanas al usuario?</w:t>
      </w:r>
    </w:p>
    <w:p>
      <w:pPr>
        <w:spacing w:after="20"/>
        <w:ind w:left="260"/>
      </w:pPr>
      <w:r>
        <w:t xml:space="preserve">A. Amazon CloudFront</w:t>
      </w:r>
    </w:p>
    <w:p>
      <w:pPr>
        <w:spacing w:after="20"/>
        <w:ind w:left="260"/>
      </w:pPr>
      <w:r>
        <w:t xml:space="preserve">B. Amazon VPC</w:t>
      </w:r>
    </w:p>
    <w:p>
      <w:pPr>
        <w:spacing w:after="20"/>
        <w:ind w:left="260"/>
      </w:pPr>
      <w:r>
        <w:t xml:space="preserve">C. AWS Direct Connect</w:t>
      </w:r>
    </w:p>
    <w:p>
      <w:pPr>
        <w:spacing w:after="20"/>
        <w:ind w:left="260"/>
      </w:pPr>
      <w:r>
        <w:t xml:space="preserve">D. Amazon Route 53</w:t>
      </w:r>
    </w:p>
    <w:p>
      <w:pPr>
        <w:spacing w:after="40" w:before="40"/>
      </w:pPr>
      <w:r>
        <w:rPr>
          <w:b/>
          <w:bCs/>
          <w:color w:val="2E6B4F"/>
        </w:rPr>
        <w:t xml:space="preserve">Respuesta: </w:t>
      </w:r>
      <w:r>
        <w:rPr>
          <w:b/>
          <w:bCs/>
        </w:rPr>
        <w:t xml:space="preserve">A. Amazon CloudFront</w:t>
      </w:r>
    </w:p>
    <w:p>
      <w:pPr>
        <w:spacing w:after="140"/>
      </w:pPr>
      <w:r>
        <w:rPr>
          <w:i/>
          <w:iCs/>
          <w:color w:val="5B6470"/>
        </w:rPr>
        <w:t xml:space="preserve">Por qué: </w:t>
      </w:r>
      <w:r>
        <w:rPr>
          <w:i/>
          <w:iCs/>
          <w:color w:val="5B6470"/>
        </w:rPr>
        <w:t xml:space="preserve">CloudFront es la CDN de AWS. Route 53 es DNS, VPC es red privada y Direct Connect es conectividad dedicada on-premises.</w:t>
      </w:r>
    </w:p>
    <w:p>
      <w:pPr>
        <w:spacing w:after="50" w:before="120"/>
      </w:pPr>
      <w:r>
        <w:rPr>
          <w:b/>
          <w:bCs/>
          <w:color w:val="1F3864"/>
        </w:rPr>
        <w:t xml:space="preserve">Pregunta 9. </w:t>
      </w:r>
      <w:r>
        <w:t xml:space="preserve">Necesitas una base de datos totalmente administrada, NoSQL, de latencia de milisegundos y escalado automático. ¿Cuál eliges?</w:t>
      </w:r>
    </w:p>
    <w:p>
      <w:pPr>
        <w:spacing w:after="20"/>
        <w:ind w:left="260"/>
      </w:pPr>
      <w:r>
        <w:t xml:space="preserve">A. Amazon RDS</w:t>
      </w:r>
    </w:p>
    <w:p>
      <w:pPr>
        <w:spacing w:after="20"/>
        <w:ind w:left="260"/>
      </w:pPr>
      <w:r>
        <w:t xml:space="preserve">B. Amazon Redshift</w:t>
      </w:r>
    </w:p>
    <w:p>
      <w:pPr>
        <w:spacing w:after="20"/>
        <w:ind w:left="260"/>
      </w:pPr>
      <w:r>
        <w:t xml:space="preserve">C. Amazon DynamoDB</w:t>
      </w:r>
    </w:p>
    <w:p>
      <w:pPr>
        <w:spacing w:after="20"/>
        <w:ind w:left="260"/>
      </w:pPr>
      <w:r>
        <w:t xml:space="preserve">D. Amazon ElastiCache</w:t>
      </w:r>
    </w:p>
    <w:p>
      <w:pPr>
        <w:spacing w:after="40" w:before="40"/>
      </w:pPr>
      <w:r>
        <w:rPr>
          <w:b/>
          <w:bCs/>
          <w:color w:val="2E6B4F"/>
        </w:rPr>
        <w:t xml:space="preserve">Respuesta: </w:t>
      </w:r>
      <w:r>
        <w:rPr>
          <w:b/>
          <w:bCs/>
        </w:rPr>
        <w:t xml:space="preserve">C. Amazon DynamoDB</w:t>
      </w:r>
    </w:p>
    <w:p>
      <w:pPr>
        <w:spacing w:after="140"/>
      </w:pPr>
      <w:r>
        <w:rPr>
          <w:i/>
          <w:iCs/>
          <w:color w:val="5B6470"/>
        </w:rPr>
        <w:t xml:space="preserve">Por qué: </w:t>
      </w:r>
      <w:r>
        <w:rPr>
          <w:i/>
          <w:iCs/>
          <w:color w:val="5B6470"/>
        </w:rPr>
        <w:t xml:space="preserve">DynamoDB es NoSQL administrada. RDS es relacional administrada, Redshift es data warehouse analítico y ElastiCache es caché en memoria.</w:t>
      </w:r>
    </w:p>
    <w:p>
      <w:pPr>
        <w:spacing w:after="50" w:before="120"/>
      </w:pPr>
      <w:r>
        <w:rPr>
          <w:b/>
          <w:bCs/>
          <w:color w:val="1F3864"/>
        </w:rPr>
        <w:t xml:space="preserve">Pregunta 10. </w:t>
      </w:r>
      <w:r>
        <w:t xml:space="preserve">¿Qué herramienta muestra y analiza el gasto ya incurrido, por servicio y por etiqueta?</w:t>
      </w:r>
    </w:p>
    <w:p>
      <w:pPr>
        <w:spacing w:after="20"/>
        <w:ind w:left="260"/>
      </w:pPr>
      <w:r>
        <w:t xml:space="preserve">A. AWS Budgets</w:t>
      </w:r>
    </w:p>
    <w:p>
      <w:pPr>
        <w:spacing w:after="20"/>
        <w:ind w:left="260"/>
      </w:pPr>
      <w:r>
        <w:t xml:space="preserve">B. AWS Cost Explorer</w:t>
      </w:r>
    </w:p>
    <w:p>
      <w:pPr>
        <w:spacing w:after="20"/>
        <w:ind w:left="260"/>
      </w:pPr>
      <w:r>
        <w:t xml:space="preserve">C. AWS Pricing Calculator</w:t>
      </w:r>
    </w:p>
    <w:p>
      <w:pPr>
        <w:spacing w:after="20"/>
        <w:ind w:left="260"/>
      </w:pPr>
      <w:r>
        <w:t xml:space="preserve">D. AWS Trusted Advisor</w:t>
      </w:r>
    </w:p>
    <w:p>
      <w:pPr>
        <w:spacing w:after="40" w:before="40"/>
      </w:pPr>
      <w:r>
        <w:rPr>
          <w:b/>
          <w:bCs/>
          <w:color w:val="2E6B4F"/>
        </w:rPr>
        <w:t xml:space="preserve">Respuesta: </w:t>
      </w:r>
      <w:r>
        <w:rPr>
          <w:b/>
          <w:bCs/>
        </w:rPr>
        <w:t xml:space="preserve">B. AWS Cost Explorer</w:t>
      </w:r>
    </w:p>
    <w:p>
      <w:pPr>
        <w:spacing w:after="140"/>
      </w:pPr>
      <w:r>
        <w:rPr>
          <w:i/>
          <w:iCs/>
          <w:color w:val="5B6470"/>
        </w:rPr>
        <w:t xml:space="preserve">Por qué: </w:t>
      </w:r>
      <w:r>
        <w:rPr>
          <w:i/>
          <w:iCs/>
          <w:color w:val="5B6470"/>
        </w:rPr>
        <w:t xml:space="preserve">Cost Explorer analiza el gasto histórico y actual. Budgets alerta sobre umbrales y Pricing Calculator estima costos futuros.</w:t>
      </w:r>
    </w:p>
    <w:p>
      <w:pPr>
        <w:spacing w:after="50" w:before="120"/>
      </w:pPr>
      <w:r>
        <w:rPr>
          <w:b/>
          <w:bCs/>
          <w:color w:val="1F3864"/>
        </w:rPr>
        <w:t xml:space="preserve">Pregunta 11. </w:t>
      </w:r>
      <w:r>
        <w:t xml:space="preserve">¿Por qué se prefiere un rol IAM sobre un usuario IAM con claves de larga duración para una aplicación?</w:t>
      </w:r>
    </w:p>
    <w:p>
      <w:pPr>
        <w:spacing w:after="20"/>
        <w:ind w:left="260"/>
      </w:pPr>
      <w:r>
        <w:t xml:space="preserve">A. Los roles son gratis y los usuarios no</w:t>
      </w:r>
    </w:p>
    <w:p>
      <w:pPr>
        <w:spacing w:after="20"/>
        <w:ind w:left="260"/>
      </w:pPr>
      <w:r>
        <w:t xml:space="preserve">B. El rol entrega credenciales temporales que rotan solas, sin secretos que guardar</w:t>
      </w:r>
    </w:p>
    <w:p>
      <w:pPr>
        <w:spacing w:after="20"/>
        <w:ind w:left="260"/>
      </w:pPr>
      <w:r>
        <w:t xml:space="preserve">C. Los usuarios no pueden acceder a DynamoDB</w:t>
      </w:r>
    </w:p>
    <w:p>
      <w:pPr>
        <w:spacing w:after="20"/>
        <w:ind w:left="260"/>
      </w:pPr>
      <w:r>
        <w:t xml:space="preserve">D. Los roles no requieren políticas</w:t>
      </w:r>
    </w:p>
    <w:p>
      <w:pPr>
        <w:spacing w:after="40" w:before="40"/>
      </w:pPr>
      <w:r>
        <w:rPr>
          <w:b/>
          <w:bCs/>
          <w:color w:val="2E6B4F"/>
        </w:rPr>
        <w:t xml:space="preserve">Respuesta: </w:t>
      </w:r>
      <w:r>
        <w:rPr>
          <w:b/>
          <w:bCs/>
        </w:rPr>
        <w:t xml:space="preserve">B. El rol entrega credenciales temporales que rotan solas, sin secretos que guardar</w:t>
      </w:r>
    </w:p>
    <w:p>
      <w:pPr>
        <w:spacing w:after="140"/>
      </w:pPr>
      <w:r>
        <w:rPr>
          <w:i/>
          <w:iCs/>
          <w:color w:val="5B6470"/>
        </w:rPr>
        <w:t xml:space="preserve">Por qué: </w:t>
      </w:r>
      <w:r>
        <w:rPr>
          <w:i/>
          <w:iCs/>
          <w:color w:val="5B6470"/>
        </w:rPr>
        <w:t xml:space="preserve">En Nexora la Lambda usa su rol; config.ts incluso prohíbe claves estáticas cuando APP_ENV es production.</w:t>
      </w:r>
    </w:p>
    <w:p>
      <w:pPr>
        <w:spacing w:after="50" w:before="120"/>
      </w:pPr>
      <w:r>
        <w:rPr>
          <w:b/>
          <w:bCs/>
          <w:color w:val="1F3864"/>
        </w:rPr>
        <w:t xml:space="preserve">Pregunta 12. </w:t>
      </w:r>
      <w:r>
        <w:t xml:space="preserve">¿Cuál de los siguientes NO es un pilar de AWS Well-Architected?</w:t>
      </w:r>
    </w:p>
    <w:p>
      <w:pPr>
        <w:spacing w:after="20"/>
        <w:ind w:left="260"/>
      </w:pPr>
      <w:r>
        <w:t xml:space="preserve">A. Seguridad</w:t>
      </w:r>
    </w:p>
    <w:p>
      <w:pPr>
        <w:spacing w:after="20"/>
        <w:ind w:left="260"/>
      </w:pPr>
      <w:r>
        <w:t xml:space="preserve">B. Fiabilidad</w:t>
      </w:r>
    </w:p>
    <w:p>
      <w:pPr>
        <w:spacing w:after="20"/>
        <w:ind w:left="260"/>
      </w:pPr>
      <w:r>
        <w:t xml:space="preserve">C. Escalabilidad</w:t>
      </w:r>
    </w:p>
    <w:p>
      <w:pPr>
        <w:spacing w:after="20"/>
        <w:ind w:left="260"/>
      </w:pPr>
      <w:r>
        <w:t xml:space="preserve">D. Sostenibilidad</w:t>
      </w:r>
    </w:p>
    <w:p>
      <w:pPr>
        <w:spacing w:after="40" w:before="40"/>
      </w:pPr>
      <w:r>
        <w:rPr>
          <w:b/>
          <w:bCs/>
          <w:color w:val="2E6B4F"/>
        </w:rPr>
        <w:t xml:space="preserve">Respuesta: </w:t>
      </w:r>
      <w:r>
        <w:rPr>
          <w:b/>
          <w:bCs/>
        </w:rPr>
        <w:t xml:space="preserve">C. Escalabilidad</w:t>
      </w:r>
    </w:p>
    <w:p>
      <w:pPr>
        <w:spacing w:after="140"/>
      </w:pPr>
      <w:r>
        <w:rPr>
          <w:i/>
          <w:iCs/>
          <w:color w:val="5B6470"/>
        </w:rPr>
        <w:t xml:space="preserve">Por qué: </w:t>
      </w:r>
      <w:r>
        <w:rPr>
          <w:i/>
          <w:iCs/>
          <w:color w:val="5B6470"/>
        </w:rPr>
        <w:t xml:space="preserve">Los seis pilares son: excelencia operacional, seguridad, fiabilidad, eficiencia del rendimiento, optimización de costos y sostenibilidad.</w:t>
      </w:r>
    </w:p>
    <w:p>
      <w:pPr>
        <w:spacing w:after="50" w:before="120"/>
      </w:pPr>
      <w:r>
        <w:rPr>
          <w:b/>
          <w:bCs/>
          <w:color w:val="1F3864"/>
        </w:rPr>
        <w:t xml:space="preserve">Pregunta 13. </w:t>
      </w:r>
      <w:r>
        <w:t xml:space="preserve">¿Qué servicio recolecta logs y métricas y permite crear alarmas?</w:t>
      </w:r>
    </w:p>
    <w:p>
      <w:pPr>
        <w:spacing w:after="20"/>
        <w:ind w:left="260"/>
      </w:pPr>
      <w:r>
        <w:t xml:space="preserve">A. Amazon CloudWatch</w:t>
      </w:r>
    </w:p>
    <w:p>
      <w:pPr>
        <w:spacing w:after="20"/>
        <w:ind w:left="260"/>
      </w:pPr>
      <w:r>
        <w:t xml:space="preserve">B. AWS CloudTrail</w:t>
      </w:r>
    </w:p>
    <w:p>
      <w:pPr>
        <w:spacing w:after="20"/>
        <w:ind w:left="260"/>
      </w:pPr>
      <w:r>
        <w:t xml:space="preserve">C. AWS Config</w:t>
      </w:r>
    </w:p>
    <w:p>
      <w:pPr>
        <w:spacing w:after="20"/>
        <w:ind w:left="260"/>
      </w:pPr>
      <w:r>
        <w:t xml:space="preserve">D. AWS X-Ray</w:t>
      </w:r>
    </w:p>
    <w:p>
      <w:pPr>
        <w:spacing w:after="40" w:before="40"/>
      </w:pPr>
      <w:r>
        <w:rPr>
          <w:b/>
          <w:bCs/>
          <w:color w:val="2E6B4F"/>
        </w:rPr>
        <w:t xml:space="preserve">Respuesta: </w:t>
      </w:r>
      <w:r>
        <w:rPr>
          <w:b/>
          <w:bCs/>
        </w:rPr>
        <w:t xml:space="preserve">A. Amazon CloudWatch</w:t>
      </w:r>
    </w:p>
    <w:p>
      <w:pPr>
        <w:spacing w:after="140"/>
      </w:pPr>
      <w:r>
        <w:rPr>
          <w:i/>
          <w:iCs/>
          <w:color w:val="5B6470"/>
        </w:rPr>
        <w:t xml:space="preserve">Por qué: </w:t>
      </w:r>
      <w:r>
        <w:rPr>
          <w:i/>
          <w:iCs/>
          <w:color w:val="5B6470"/>
        </w:rPr>
        <w:t xml:space="preserve">CloudWatch cubre logs, métricas y alarmas. CloudTrail registra llamadas a la API de AWS, Config evalúa cumplimiento de recursos y X-Ray traza peticiones.</w:t>
      </w:r>
    </w:p>
    <w:p>
      <w:pPr>
        <w:spacing w:after="50" w:before="120"/>
      </w:pPr>
      <w:r>
        <w:rPr>
          <w:b/>
          <w:bCs/>
          <w:color w:val="1F3864"/>
        </w:rPr>
        <w:t xml:space="preserve">Pregunta 14. </w:t>
      </w:r>
      <w:r>
        <w:t xml:space="preserve">¿Qué afirmación sobre el nivel gratuito (Free Tier) de AWS es correcta?</w:t>
      </w:r>
    </w:p>
    <w:p>
      <w:pPr>
        <w:spacing w:after="20"/>
        <w:ind w:left="260"/>
      </w:pPr>
      <w:r>
        <w:t xml:space="preserve">A. Todo en AWS es gratis para siempre</w:t>
      </w:r>
    </w:p>
    <w:p>
      <w:pPr>
        <w:spacing w:after="20"/>
        <w:ind w:left="260"/>
      </w:pPr>
      <w:r>
        <w:t xml:space="preserve">B. Tiene tres tipos: siempre gratis, 12 meses gratis y pruebas cortas</w:t>
      </w:r>
    </w:p>
    <w:p>
      <w:pPr>
        <w:spacing w:after="20"/>
        <w:ind w:left="260"/>
      </w:pPr>
      <w:r>
        <w:t xml:space="preserve">C. Solo aplica a EC2</w:t>
      </w:r>
    </w:p>
    <w:p>
      <w:pPr>
        <w:spacing w:after="20"/>
        <w:ind w:left="260"/>
      </w:pPr>
      <w:r>
        <w:t xml:space="preserve">D. Requiere un plan de soporte de pago</w:t>
      </w:r>
    </w:p>
    <w:p>
      <w:pPr>
        <w:spacing w:after="40" w:before="40"/>
      </w:pPr>
      <w:r>
        <w:rPr>
          <w:b/>
          <w:bCs/>
          <w:color w:val="2E6B4F"/>
        </w:rPr>
        <w:t xml:space="preserve">Respuesta: </w:t>
      </w:r>
      <w:r>
        <w:rPr>
          <w:b/>
          <w:bCs/>
        </w:rPr>
        <w:t xml:space="preserve">B. Tiene tres tipos: siempre gratis, 12 meses gratis y pruebas cortas</w:t>
      </w:r>
    </w:p>
    <w:p>
      <w:pPr>
        <w:spacing w:after="140"/>
      </w:pPr>
      <w:r>
        <w:rPr>
          <w:i/>
          <w:iCs/>
          <w:color w:val="5B6470"/>
        </w:rPr>
        <w:t xml:space="preserve">Por qué: </w:t>
      </w:r>
      <w:r>
        <w:rPr>
          <w:i/>
          <w:iCs/>
          <w:color w:val="5B6470"/>
        </w:rPr>
        <w:t xml:space="preserve">El Free Tier no cubre todos los servicios de forma indefinida; por eso el laboratorio de Nexora igual se destruye al terminar.</w:t>
      </w:r>
    </w:p>
    <w:p>
      <w:pPr>
        <w:pStyle w:val="Heading1"/>
      </w:pPr>
      <w:r>
        <w:t xml:space="preserve">11. Glosario base para la tarea</w:t>
      </w:r>
    </w:p>
    <w:p>
      <w:pPr>
        <w:pStyle w:val="Lead"/>
        <w:spacing w:after="160"/>
      </w:pPr>
      <w:r>
        <w:t xml:space="preserve">Treinta términos como punto de partida. La mentee debe entregar 20 explicados con sus palabras; puede tomarlos de aquí y añadir los suyos.</w:t>
      </w:r>
    </w:p>
    <w:tbl>
      <w:tblPr>
        <w:tblW w:type="dxa" w:w="9360"/>
        <w:tblBorders>
          <w:top w:val="single" w:color="C9D2DC" w:sz="4"/>
          <w:left w:val="single" w:color="C9D2DC" w:sz="4"/>
          <w:bottom w:val="single" w:color="C9D2DC" w:sz="4"/>
          <w:right w:val="single" w:color="C9D2DC" w:sz="4"/>
          <w:insideH w:val="single" w:color="D9DEE5" w:sz="4"/>
          <w:insideV w:val="single" w:color="D9DEE5" w:sz="4"/>
        </w:tblBorders>
      </w:tblPr>
      <w:tblGrid>
        <w:gridCol w:w="2650"/>
        <w:gridCol w:w="6710"/>
      </w:tblGrid>
      <w:tr>
        <w:trPr>
          <w:tblHeader/>
        </w:trPr>
        <w:tc>
          <w:tcPr>
            <w:tcW w:type="dxa" w:w="2650"/>
            <w:shd w:fill="E8EDF3" w:color="auto" w:val="clear"/>
            <w:tcMar>
              <w:top w:type="dxa" w:w="90"/>
              <w:left w:type="dxa" w:w="130"/>
              <w:bottom w:type="dxa" w:w="90"/>
              <w:right w:type="dxa" w:w="130"/>
            </w:tcMar>
            <w:vAlign w:val="center"/>
          </w:tcPr>
          <w:p>
            <w:pPr>
              <w:spacing w:after="0"/>
            </w:pPr>
            <w:r>
              <w:rPr>
                <w:b/>
                <w:bCs/>
                <w:color w:val="1F3864"/>
              </w:rPr>
              <w:t xml:space="preserve">Término</w:t>
            </w:r>
          </w:p>
        </w:tc>
        <w:tc>
          <w:tcPr>
            <w:tcW w:type="dxa" w:w="6710"/>
            <w:shd w:fill="E8EDF3" w:color="auto" w:val="clear"/>
            <w:tcMar>
              <w:top w:type="dxa" w:w="90"/>
              <w:left w:type="dxa" w:w="130"/>
              <w:bottom w:type="dxa" w:w="90"/>
              <w:right w:type="dxa" w:w="130"/>
            </w:tcMar>
            <w:vAlign w:val="center"/>
          </w:tcPr>
          <w:p>
            <w:pPr>
              <w:spacing w:after="0"/>
            </w:pPr>
            <w:r>
              <w:rPr>
                <w:b/>
                <w:bCs/>
                <w:color w:val="1F3864"/>
              </w:rPr>
              <w:t xml:space="preserve">Definición breve</w:t>
            </w:r>
          </w:p>
        </w:tc>
      </w:tr>
      <w:tr>
        <w:tc>
          <w:tcPr>
            <w:tcW w:type="dxa" w:w="2650"/>
            <w:tcMar>
              <w:top w:type="dxa" w:w="90"/>
              <w:left w:type="dxa" w:w="130"/>
              <w:bottom w:type="dxa" w:w="90"/>
              <w:right w:type="dxa" w:w="130"/>
            </w:tcMar>
            <w:vAlign w:val="center"/>
          </w:tcPr>
          <w:p>
            <w:pPr>
              <w:spacing w:after="0"/>
            </w:pPr>
            <w:r>
              <w:t xml:space="preserve">Región</w:t>
            </w:r>
          </w:p>
        </w:tc>
        <w:tc>
          <w:tcPr>
            <w:tcW w:type="dxa" w:w="6710"/>
            <w:tcMar>
              <w:top w:type="dxa" w:w="90"/>
              <w:left w:type="dxa" w:w="130"/>
              <w:bottom w:type="dxa" w:w="90"/>
              <w:right w:type="dxa" w:w="130"/>
            </w:tcMar>
            <w:vAlign w:val="center"/>
          </w:tcPr>
          <w:p>
            <w:pPr>
              <w:spacing w:after="0"/>
            </w:pPr>
            <w:r>
              <w:t xml:space="preserve">Área geográfica de AWS que agrupa varias Zonas de Disponibilidad.</w:t>
            </w:r>
          </w:p>
        </w:tc>
      </w:tr>
      <w:tr>
        <w:tc>
          <w:tcPr>
            <w:tcW w:type="dxa" w:w="2650"/>
            <w:tcMar>
              <w:top w:type="dxa" w:w="90"/>
              <w:left w:type="dxa" w:w="130"/>
              <w:bottom w:type="dxa" w:w="90"/>
              <w:right w:type="dxa" w:w="130"/>
            </w:tcMar>
            <w:vAlign w:val="center"/>
          </w:tcPr>
          <w:p>
            <w:pPr>
              <w:spacing w:after="0"/>
            </w:pPr>
            <w:r>
              <w:t xml:space="preserve">Zona de Disponibilidad (AZ)</w:t>
            </w:r>
          </w:p>
        </w:tc>
        <w:tc>
          <w:tcPr>
            <w:tcW w:type="dxa" w:w="6710"/>
            <w:tcMar>
              <w:top w:type="dxa" w:w="90"/>
              <w:left w:type="dxa" w:w="130"/>
              <w:bottom w:type="dxa" w:w="90"/>
              <w:right w:type="dxa" w:w="130"/>
            </w:tcMar>
            <w:vAlign w:val="center"/>
          </w:tcPr>
          <w:p>
            <w:pPr>
              <w:spacing w:after="0"/>
            </w:pPr>
            <w:r>
              <w:t xml:space="preserve">Uno o más centros de datos aislados dentro de una Región.</w:t>
            </w:r>
          </w:p>
        </w:tc>
      </w:tr>
      <w:tr>
        <w:tc>
          <w:tcPr>
            <w:tcW w:type="dxa" w:w="2650"/>
            <w:tcMar>
              <w:top w:type="dxa" w:w="90"/>
              <w:left w:type="dxa" w:w="130"/>
              <w:bottom w:type="dxa" w:w="90"/>
              <w:right w:type="dxa" w:w="130"/>
            </w:tcMar>
            <w:vAlign w:val="center"/>
          </w:tcPr>
          <w:p>
            <w:pPr>
              <w:spacing w:after="0"/>
            </w:pPr>
            <w:r>
              <w:t xml:space="preserve">Alta disponibilidad</w:t>
            </w:r>
          </w:p>
        </w:tc>
        <w:tc>
          <w:tcPr>
            <w:tcW w:type="dxa" w:w="6710"/>
            <w:tcMar>
              <w:top w:type="dxa" w:w="90"/>
              <w:left w:type="dxa" w:w="130"/>
              <w:bottom w:type="dxa" w:w="90"/>
              <w:right w:type="dxa" w:w="130"/>
            </w:tcMar>
            <w:vAlign w:val="center"/>
          </w:tcPr>
          <w:p>
            <w:pPr>
              <w:spacing w:after="0"/>
            </w:pPr>
            <w:r>
              <w:t xml:space="preserve">Diseñar para seguir operando ante la falla de un componente, normalmente repartiendo en varias AZ.</w:t>
            </w:r>
          </w:p>
        </w:tc>
      </w:tr>
      <w:tr>
        <w:tc>
          <w:tcPr>
            <w:tcW w:type="dxa" w:w="2650"/>
            <w:tcMar>
              <w:top w:type="dxa" w:w="90"/>
              <w:left w:type="dxa" w:w="130"/>
              <w:bottom w:type="dxa" w:w="90"/>
              <w:right w:type="dxa" w:w="130"/>
            </w:tcMar>
            <w:vAlign w:val="center"/>
          </w:tcPr>
          <w:p>
            <w:pPr>
              <w:spacing w:after="0"/>
            </w:pPr>
            <w:r>
              <w:t xml:space="preserve">Elasticidad</w:t>
            </w:r>
          </w:p>
        </w:tc>
        <w:tc>
          <w:tcPr>
            <w:tcW w:type="dxa" w:w="6710"/>
            <w:tcMar>
              <w:top w:type="dxa" w:w="90"/>
              <w:left w:type="dxa" w:w="130"/>
              <w:bottom w:type="dxa" w:w="90"/>
              <w:right w:type="dxa" w:w="130"/>
            </w:tcMar>
            <w:vAlign w:val="center"/>
          </w:tcPr>
          <w:p>
            <w:pPr>
              <w:spacing w:after="0"/>
            </w:pPr>
            <w:r>
              <w:t xml:space="preserve">Ajustar la capacidad hacia arriba o abajo según la demanda.</w:t>
            </w:r>
          </w:p>
        </w:tc>
      </w:tr>
      <w:tr>
        <w:tc>
          <w:tcPr>
            <w:tcW w:type="dxa" w:w="2650"/>
            <w:tcMar>
              <w:top w:type="dxa" w:w="90"/>
              <w:left w:type="dxa" w:w="130"/>
              <w:bottom w:type="dxa" w:w="90"/>
              <w:right w:type="dxa" w:w="130"/>
            </w:tcMar>
            <w:vAlign w:val="center"/>
          </w:tcPr>
          <w:p>
            <w:pPr>
              <w:spacing w:after="0"/>
            </w:pPr>
            <w:r>
              <w:t xml:space="preserve">Modelo de responsabilidad compartida</w:t>
            </w:r>
          </w:p>
        </w:tc>
        <w:tc>
          <w:tcPr>
            <w:tcW w:type="dxa" w:w="6710"/>
            <w:tcMar>
              <w:top w:type="dxa" w:w="90"/>
              <w:left w:type="dxa" w:w="130"/>
              <w:bottom w:type="dxa" w:w="90"/>
              <w:right w:type="dxa" w:w="130"/>
            </w:tcMar>
            <w:vAlign w:val="center"/>
          </w:tcPr>
          <w:p>
            <w:pPr>
              <w:spacing w:after="0"/>
            </w:pPr>
            <w:r>
              <w:t xml:space="preserve">AWS asegura la nube; el cliente asegura lo que pone en la nube.</w:t>
            </w:r>
          </w:p>
        </w:tc>
      </w:tr>
      <w:tr>
        <w:tc>
          <w:tcPr>
            <w:tcW w:type="dxa" w:w="2650"/>
            <w:tcMar>
              <w:top w:type="dxa" w:w="90"/>
              <w:left w:type="dxa" w:w="130"/>
              <w:bottom w:type="dxa" w:w="90"/>
              <w:right w:type="dxa" w:w="130"/>
            </w:tcMar>
            <w:vAlign w:val="center"/>
          </w:tcPr>
          <w:p>
            <w:pPr>
              <w:spacing w:after="0"/>
            </w:pPr>
            <w:r>
              <w:t xml:space="preserve">IAM</w:t>
            </w:r>
          </w:p>
        </w:tc>
        <w:tc>
          <w:tcPr>
            <w:tcW w:type="dxa" w:w="6710"/>
            <w:tcMar>
              <w:top w:type="dxa" w:w="90"/>
              <w:left w:type="dxa" w:w="130"/>
              <w:bottom w:type="dxa" w:w="90"/>
              <w:right w:type="dxa" w:w="130"/>
            </w:tcMar>
            <w:vAlign w:val="center"/>
          </w:tcPr>
          <w:p>
            <w:pPr>
              <w:spacing w:after="0"/>
            </w:pPr>
            <w:r>
              <w:t xml:space="preserve">Servicio de identidades y permisos: quién puede hacer qué sobre qué recurso.</w:t>
            </w:r>
          </w:p>
        </w:tc>
      </w:tr>
      <w:tr>
        <w:tc>
          <w:tcPr>
            <w:tcW w:type="dxa" w:w="2650"/>
            <w:tcMar>
              <w:top w:type="dxa" w:w="90"/>
              <w:left w:type="dxa" w:w="130"/>
              <w:bottom w:type="dxa" w:w="90"/>
              <w:right w:type="dxa" w:w="130"/>
            </w:tcMar>
            <w:vAlign w:val="center"/>
          </w:tcPr>
          <w:p>
            <w:pPr>
              <w:spacing w:after="0"/>
            </w:pPr>
            <w:r>
              <w:t xml:space="preserve">Rol IAM</w:t>
            </w:r>
          </w:p>
        </w:tc>
        <w:tc>
          <w:tcPr>
            <w:tcW w:type="dxa" w:w="6710"/>
            <w:tcMar>
              <w:top w:type="dxa" w:w="90"/>
              <w:left w:type="dxa" w:w="130"/>
              <w:bottom w:type="dxa" w:w="90"/>
              <w:right w:type="dxa" w:w="130"/>
            </w:tcMar>
            <w:vAlign w:val="center"/>
          </w:tcPr>
          <w:p>
            <w:pPr>
              <w:spacing w:after="0"/>
            </w:pPr>
            <w:r>
              <w:t xml:space="preserve">Identidad sin credenciales permanentes que entrega permisos temporales a un servicio o usuario.</w:t>
            </w:r>
          </w:p>
        </w:tc>
      </w:tr>
      <w:tr>
        <w:tc>
          <w:tcPr>
            <w:tcW w:type="dxa" w:w="2650"/>
            <w:tcMar>
              <w:top w:type="dxa" w:w="90"/>
              <w:left w:type="dxa" w:w="130"/>
              <w:bottom w:type="dxa" w:w="90"/>
              <w:right w:type="dxa" w:w="130"/>
            </w:tcMar>
            <w:vAlign w:val="center"/>
          </w:tcPr>
          <w:p>
            <w:pPr>
              <w:spacing w:after="0"/>
            </w:pPr>
            <w:r>
              <w:t xml:space="preserve">Política IAM</w:t>
            </w:r>
          </w:p>
        </w:tc>
        <w:tc>
          <w:tcPr>
            <w:tcW w:type="dxa" w:w="6710"/>
            <w:tcMar>
              <w:top w:type="dxa" w:w="90"/>
              <w:left w:type="dxa" w:w="130"/>
              <w:bottom w:type="dxa" w:w="90"/>
              <w:right w:type="dxa" w:w="130"/>
            </w:tcMar>
            <w:vAlign w:val="center"/>
          </w:tcPr>
          <w:p>
            <w:pPr>
              <w:spacing w:after="0"/>
            </w:pPr>
            <w:r>
              <w:t xml:space="preserve">Documento JSON que permite o niega acciones sobre recursos.</w:t>
            </w:r>
          </w:p>
        </w:tc>
      </w:tr>
      <w:tr>
        <w:tc>
          <w:tcPr>
            <w:tcW w:type="dxa" w:w="2650"/>
            <w:tcMar>
              <w:top w:type="dxa" w:w="90"/>
              <w:left w:type="dxa" w:w="130"/>
              <w:bottom w:type="dxa" w:w="90"/>
              <w:right w:type="dxa" w:w="130"/>
            </w:tcMar>
            <w:vAlign w:val="center"/>
          </w:tcPr>
          <w:p>
            <w:pPr>
              <w:spacing w:after="0"/>
            </w:pPr>
            <w:r>
              <w:t xml:space="preserve">Mínimo privilegio</w:t>
            </w:r>
          </w:p>
        </w:tc>
        <w:tc>
          <w:tcPr>
            <w:tcW w:type="dxa" w:w="6710"/>
            <w:tcMar>
              <w:top w:type="dxa" w:w="90"/>
              <w:left w:type="dxa" w:w="130"/>
              <w:bottom w:type="dxa" w:w="90"/>
              <w:right w:type="dxa" w:w="130"/>
            </w:tcMar>
            <w:vAlign w:val="center"/>
          </w:tcPr>
          <w:p>
            <w:pPr>
              <w:spacing w:after="0"/>
            </w:pPr>
            <w:r>
              <w:t xml:space="preserve">Conceder solo los permisos necesarios para la tarea.</w:t>
            </w:r>
          </w:p>
        </w:tc>
      </w:tr>
      <w:tr>
        <w:tc>
          <w:tcPr>
            <w:tcW w:type="dxa" w:w="2650"/>
            <w:tcMar>
              <w:top w:type="dxa" w:w="90"/>
              <w:left w:type="dxa" w:w="130"/>
              <w:bottom w:type="dxa" w:w="90"/>
              <w:right w:type="dxa" w:w="130"/>
            </w:tcMar>
            <w:vAlign w:val="center"/>
          </w:tcPr>
          <w:p>
            <w:pPr>
              <w:spacing w:after="0"/>
            </w:pPr>
            <w:r>
              <w:t xml:space="preserve">Cognito</w:t>
            </w:r>
          </w:p>
        </w:tc>
        <w:tc>
          <w:tcPr>
            <w:tcW w:type="dxa" w:w="6710"/>
            <w:tcMar>
              <w:top w:type="dxa" w:w="90"/>
              <w:left w:type="dxa" w:w="130"/>
              <w:bottom w:type="dxa" w:w="90"/>
              <w:right w:type="dxa" w:w="130"/>
            </w:tcMar>
            <w:vAlign w:val="center"/>
          </w:tcPr>
          <w:p>
            <w:pPr>
              <w:spacing w:after="0"/>
            </w:pPr>
            <w:r>
              <w:t xml:space="preserve">Servicio administrado de identidad de usuarios: login, MFA y tokens.</w:t>
            </w:r>
          </w:p>
        </w:tc>
      </w:tr>
      <w:tr>
        <w:tc>
          <w:tcPr>
            <w:tcW w:type="dxa" w:w="2650"/>
            <w:tcMar>
              <w:top w:type="dxa" w:w="90"/>
              <w:left w:type="dxa" w:w="130"/>
              <w:bottom w:type="dxa" w:w="90"/>
              <w:right w:type="dxa" w:w="130"/>
            </w:tcMar>
            <w:vAlign w:val="center"/>
          </w:tcPr>
          <w:p>
            <w:pPr>
              <w:spacing w:after="0"/>
            </w:pPr>
            <w:r>
              <w:t xml:space="preserve">MFA</w:t>
            </w:r>
          </w:p>
        </w:tc>
        <w:tc>
          <w:tcPr>
            <w:tcW w:type="dxa" w:w="6710"/>
            <w:tcMar>
              <w:top w:type="dxa" w:w="90"/>
              <w:left w:type="dxa" w:w="130"/>
              <w:bottom w:type="dxa" w:w="90"/>
              <w:right w:type="dxa" w:w="130"/>
            </w:tcMar>
            <w:vAlign w:val="center"/>
          </w:tcPr>
          <w:p>
            <w:pPr>
              <w:spacing w:after="0"/>
            </w:pPr>
            <w:r>
              <w:t xml:space="preserve">Autenticación con más de un factor (contraseña + código, por ejemplo).</w:t>
            </w:r>
          </w:p>
        </w:tc>
      </w:tr>
      <w:tr>
        <w:tc>
          <w:tcPr>
            <w:tcW w:type="dxa" w:w="2650"/>
            <w:tcMar>
              <w:top w:type="dxa" w:w="90"/>
              <w:left w:type="dxa" w:w="130"/>
              <w:bottom w:type="dxa" w:w="90"/>
              <w:right w:type="dxa" w:w="130"/>
            </w:tcMar>
            <w:vAlign w:val="center"/>
          </w:tcPr>
          <w:p>
            <w:pPr>
              <w:spacing w:after="0"/>
            </w:pPr>
            <w:r>
              <w:t xml:space="preserve">Serverless</w:t>
            </w:r>
          </w:p>
        </w:tc>
        <w:tc>
          <w:tcPr>
            <w:tcW w:type="dxa" w:w="6710"/>
            <w:tcMar>
              <w:top w:type="dxa" w:w="90"/>
              <w:left w:type="dxa" w:w="130"/>
              <w:bottom w:type="dxa" w:w="90"/>
              <w:right w:type="dxa" w:w="130"/>
            </w:tcMar>
            <w:vAlign w:val="center"/>
          </w:tcPr>
          <w:p>
            <w:pPr>
              <w:spacing w:after="0"/>
            </w:pPr>
            <w:r>
              <w:t xml:space="preserve">Modelo donde no se administran servidores y se paga por uso (Lambda, API Gateway, DynamoDB).</w:t>
            </w:r>
          </w:p>
        </w:tc>
      </w:tr>
      <w:tr>
        <w:tc>
          <w:tcPr>
            <w:tcW w:type="dxa" w:w="2650"/>
            <w:tcMar>
              <w:top w:type="dxa" w:w="90"/>
              <w:left w:type="dxa" w:w="130"/>
              <w:bottom w:type="dxa" w:w="90"/>
              <w:right w:type="dxa" w:w="130"/>
            </w:tcMar>
            <w:vAlign w:val="center"/>
          </w:tcPr>
          <w:p>
            <w:pPr>
              <w:spacing w:after="0"/>
            </w:pPr>
            <w:r>
              <w:t xml:space="preserve">Lambda</w:t>
            </w:r>
          </w:p>
        </w:tc>
        <w:tc>
          <w:tcPr>
            <w:tcW w:type="dxa" w:w="6710"/>
            <w:tcMar>
              <w:top w:type="dxa" w:w="90"/>
              <w:left w:type="dxa" w:w="130"/>
              <w:bottom w:type="dxa" w:w="90"/>
              <w:right w:type="dxa" w:w="130"/>
            </w:tcMar>
            <w:vAlign w:val="center"/>
          </w:tcPr>
          <w:p>
            <w:pPr>
              <w:spacing w:after="0"/>
            </w:pPr>
            <w:r>
              <w:t xml:space="preserve">Ejecuta funciones bajo demanda; escala solo; pago por invocación y duración.</w:t>
            </w:r>
          </w:p>
        </w:tc>
      </w:tr>
      <w:tr>
        <w:tc>
          <w:tcPr>
            <w:tcW w:type="dxa" w:w="2650"/>
            <w:tcMar>
              <w:top w:type="dxa" w:w="90"/>
              <w:left w:type="dxa" w:w="130"/>
              <w:bottom w:type="dxa" w:w="90"/>
              <w:right w:type="dxa" w:w="130"/>
            </w:tcMar>
            <w:vAlign w:val="center"/>
          </w:tcPr>
          <w:p>
            <w:pPr>
              <w:spacing w:after="0"/>
            </w:pPr>
            <w:r>
              <w:t xml:space="preserve">Cold start</w:t>
            </w:r>
          </w:p>
        </w:tc>
        <w:tc>
          <w:tcPr>
            <w:tcW w:type="dxa" w:w="6710"/>
            <w:tcMar>
              <w:top w:type="dxa" w:w="90"/>
              <w:left w:type="dxa" w:w="130"/>
              <w:bottom w:type="dxa" w:w="90"/>
              <w:right w:type="dxa" w:w="130"/>
            </w:tcMar>
            <w:vAlign w:val="center"/>
          </w:tcPr>
          <w:p>
            <w:pPr>
              <w:spacing w:after="0"/>
            </w:pPr>
            <w:r>
              <w:t xml:space="preserve">Latencia extra la primera vez que se invoca una función tras estar inactiva.</w:t>
            </w:r>
          </w:p>
        </w:tc>
      </w:tr>
      <w:tr>
        <w:tc>
          <w:tcPr>
            <w:tcW w:type="dxa" w:w="2650"/>
            <w:tcMar>
              <w:top w:type="dxa" w:w="90"/>
              <w:left w:type="dxa" w:w="130"/>
              <w:bottom w:type="dxa" w:w="90"/>
              <w:right w:type="dxa" w:w="130"/>
            </w:tcMar>
            <w:vAlign w:val="center"/>
          </w:tcPr>
          <w:p>
            <w:pPr>
              <w:spacing w:after="0"/>
            </w:pPr>
            <w:r>
              <w:t xml:space="preserve">API Gateway</w:t>
            </w:r>
          </w:p>
        </w:tc>
        <w:tc>
          <w:tcPr>
            <w:tcW w:type="dxa" w:w="6710"/>
            <w:tcMar>
              <w:top w:type="dxa" w:w="90"/>
              <w:left w:type="dxa" w:w="130"/>
              <w:bottom w:type="dxa" w:w="90"/>
              <w:right w:type="dxa" w:w="130"/>
            </w:tcMar>
            <w:vAlign w:val="center"/>
          </w:tcPr>
          <w:p>
            <w:pPr>
              <w:spacing w:after="0"/>
            </w:pPr>
            <w:r>
              <w:t xml:space="preserve">Puerta de entrada HTTP administrada hacia funciones o servicios.</w:t>
            </w:r>
          </w:p>
        </w:tc>
      </w:tr>
      <w:tr>
        <w:tc>
          <w:tcPr>
            <w:tcW w:type="dxa" w:w="2650"/>
            <w:tcMar>
              <w:top w:type="dxa" w:w="90"/>
              <w:left w:type="dxa" w:w="130"/>
              <w:bottom w:type="dxa" w:w="90"/>
              <w:right w:type="dxa" w:w="130"/>
            </w:tcMar>
            <w:vAlign w:val="center"/>
          </w:tcPr>
          <w:p>
            <w:pPr>
              <w:spacing w:after="0"/>
            </w:pPr>
            <w:r>
              <w:t xml:space="preserve">DynamoDB</w:t>
            </w:r>
          </w:p>
        </w:tc>
        <w:tc>
          <w:tcPr>
            <w:tcW w:type="dxa" w:w="6710"/>
            <w:tcMar>
              <w:top w:type="dxa" w:w="90"/>
              <w:left w:type="dxa" w:w="130"/>
              <w:bottom w:type="dxa" w:w="90"/>
              <w:right w:type="dxa" w:w="130"/>
            </w:tcMar>
            <w:vAlign w:val="center"/>
          </w:tcPr>
          <w:p>
            <w:pPr>
              <w:spacing w:after="0"/>
            </w:pPr>
            <w:r>
              <w:t xml:space="preserve">Base de datos NoSQL administrada de baja latencia y escalado automático.</w:t>
            </w:r>
          </w:p>
        </w:tc>
      </w:tr>
      <w:tr>
        <w:tc>
          <w:tcPr>
            <w:tcW w:type="dxa" w:w="2650"/>
            <w:tcMar>
              <w:top w:type="dxa" w:w="90"/>
              <w:left w:type="dxa" w:w="130"/>
              <w:bottom w:type="dxa" w:w="90"/>
              <w:right w:type="dxa" w:w="130"/>
            </w:tcMar>
            <w:vAlign w:val="center"/>
          </w:tcPr>
          <w:p>
            <w:pPr>
              <w:spacing w:after="0"/>
            </w:pPr>
            <w:r>
              <w:t xml:space="preserve">Clave de partición / de ordenación (PK/SK)</w:t>
            </w:r>
          </w:p>
        </w:tc>
        <w:tc>
          <w:tcPr>
            <w:tcW w:type="dxa" w:w="6710"/>
            <w:tcMar>
              <w:top w:type="dxa" w:w="90"/>
              <w:left w:type="dxa" w:w="130"/>
              <w:bottom w:type="dxa" w:w="90"/>
              <w:right w:type="dxa" w:w="130"/>
            </w:tcMar>
            <w:vAlign w:val="center"/>
          </w:tcPr>
          <w:p>
            <w:pPr>
              <w:spacing w:after="0"/>
            </w:pPr>
            <w:r>
              <w:t xml:space="preserve">Identifican cada ítem en DynamoDB y determinan cómo se distribuye y consulta.</w:t>
            </w:r>
          </w:p>
        </w:tc>
      </w:tr>
      <w:tr>
        <w:tc>
          <w:tcPr>
            <w:tcW w:type="dxa" w:w="2650"/>
            <w:tcMar>
              <w:top w:type="dxa" w:w="90"/>
              <w:left w:type="dxa" w:w="130"/>
              <w:bottom w:type="dxa" w:w="90"/>
              <w:right w:type="dxa" w:w="130"/>
            </w:tcMar>
            <w:vAlign w:val="center"/>
          </w:tcPr>
          <w:p>
            <w:pPr>
              <w:spacing w:after="0"/>
            </w:pPr>
            <w:r>
              <w:t xml:space="preserve">Query frente a Scan</w:t>
            </w:r>
          </w:p>
        </w:tc>
        <w:tc>
          <w:tcPr>
            <w:tcW w:type="dxa" w:w="6710"/>
            <w:tcMar>
              <w:top w:type="dxa" w:w="90"/>
              <w:left w:type="dxa" w:w="130"/>
              <w:bottom w:type="dxa" w:w="90"/>
              <w:right w:type="dxa" w:w="130"/>
            </w:tcMar>
            <w:vAlign w:val="center"/>
          </w:tcPr>
          <w:p>
            <w:pPr>
              <w:spacing w:after="0"/>
            </w:pPr>
            <w:r>
              <w:t xml:space="preserve">Query lee una partición por clave; Scan recorre toda la tabla y se evita en producción.</w:t>
            </w:r>
          </w:p>
        </w:tc>
      </w:tr>
      <w:tr>
        <w:tc>
          <w:tcPr>
            <w:tcW w:type="dxa" w:w="2650"/>
            <w:tcMar>
              <w:top w:type="dxa" w:w="90"/>
              <w:left w:type="dxa" w:w="130"/>
              <w:bottom w:type="dxa" w:w="90"/>
              <w:right w:type="dxa" w:w="130"/>
            </w:tcMar>
            <w:vAlign w:val="center"/>
          </w:tcPr>
          <w:p>
            <w:pPr>
              <w:spacing w:after="0"/>
            </w:pPr>
            <w:r>
              <w:t xml:space="preserve">TransactWriteItems</w:t>
            </w:r>
          </w:p>
        </w:tc>
        <w:tc>
          <w:tcPr>
            <w:tcW w:type="dxa" w:w="6710"/>
            <w:tcMar>
              <w:top w:type="dxa" w:w="90"/>
              <w:left w:type="dxa" w:w="130"/>
              <w:bottom w:type="dxa" w:w="90"/>
              <w:right w:type="dxa" w:w="130"/>
            </w:tcMar>
            <w:vAlign w:val="center"/>
          </w:tcPr>
          <w:p>
            <w:pPr>
              <w:spacing w:after="0"/>
            </w:pPr>
            <w:r>
              <w:t xml:space="preserve">Escritura atómica de varios ítems: todo se aplica o nada.</w:t>
            </w:r>
          </w:p>
        </w:tc>
      </w:tr>
      <w:tr>
        <w:tc>
          <w:tcPr>
            <w:tcW w:type="dxa" w:w="2650"/>
            <w:tcMar>
              <w:top w:type="dxa" w:w="90"/>
              <w:left w:type="dxa" w:w="130"/>
              <w:bottom w:type="dxa" w:w="90"/>
              <w:right w:type="dxa" w:w="130"/>
            </w:tcMar>
            <w:vAlign w:val="center"/>
          </w:tcPr>
          <w:p>
            <w:pPr>
              <w:spacing w:after="0"/>
            </w:pPr>
            <w:r>
              <w:t xml:space="preserve">S3</w:t>
            </w:r>
          </w:p>
        </w:tc>
        <w:tc>
          <w:tcPr>
            <w:tcW w:type="dxa" w:w="6710"/>
            <w:tcMar>
              <w:top w:type="dxa" w:w="90"/>
              <w:left w:type="dxa" w:w="130"/>
              <w:bottom w:type="dxa" w:w="90"/>
              <w:right w:type="dxa" w:w="130"/>
            </w:tcMar>
            <w:vAlign w:val="center"/>
          </w:tcPr>
          <w:p>
            <w:pPr>
              <w:spacing w:after="0"/>
            </w:pPr>
            <w:r>
              <w:t xml:space="preserve">Almacenamiento de objetos por HTTP, con alta durabilidad.</w:t>
            </w:r>
          </w:p>
        </w:tc>
      </w:tr>
      <w:tr>
        <w:tc>
          <w:tcPr>
            <w:tcW w:type="dxa" w:w="2650"/>
            <w:tcMar>
              <w:top w:type="dxa" w:w="90"/>
              <w:left w:type="dxa" w:w="130"/>
              <w:bottom w:type="dxa" w:w="90"/>
              <w:right w:type="dxa" w:w="130"/>
            </w:tcMar>
            <w:vAlign w:val="center"/>
          </w:tcPr>
          <w:p>
            <w:pPr>
              <w:spacing w:after="0"/>
            </w:pPr>
            <w:r>
              <w:t xml:space="preserve">Origin Access Control (OAC)</w:t>
            </w:r>
          </w:p>
        </w:tc>
        <w:tc>
          <w:tcPr>
            <w:tcW w:type="dxa" w:w="6710"/>
            <w:tcMar>
              <w:top w:type="dxa" w:w="90"/>
              <w:left w:type="dxa" w:w="130"/>
              <w:bottom w:type="dxa" w:w="90"/>
              <w:right w:type="dxa" w:w="130"/>
            </w:tcMar>
            <w:vAlign w:val="center"/>
          </w:tcPr>
          <w:p>
            <w:pPr>
              <w:spacing w:after="0"/>
            </w:pPr>
            <w:r>
              <w:t xml:space="preserve">Mecanismo para que solo CloudFront pueda leer un bucket S3 privado.</w:t>
            </w:r>
          </w:p>
        </w:tc>
      </w:tr>
      <w:tr>
        <w:tc>
          <w:tcPr>
            <w:tcW w:type="dxa" w:w="2650"/>
            <w:tcMar>
              <w:top w:type="dxa" w:w="90"/>
              <w:left w:type="dxa" w:w="130"/>
              <w:bottom w:type="dxa" w:w="90"/>
              <w:right w:type="dxa" w:w="130"/>
            </w:tcMar>
            <w:vAlign w:val="center"/>
          </w:tcPr>
          <w:p>
            <w:pPr>
              <w:spacing w:after="0"/>
            </w:pPr>
            <w:r>
              <w:t xml:space="preserve">CloudFront</w:t>
            </w:r>
          </w:p>
        </w:tc>
        <w:tc>
          <w:tcPr>
            <w:tcW w:type="dxa" w:w="6710"/>
            <w:tcMar>
              <w:top w:type="dxa" w:w="90"/>
              <w:left w:type="dxa" w:w="130"/>
              <w:bottom w:type="dxa" w:w="90"/>
              <w:right w:type="dxa" w:w="130"/>
            </w:tcMar>
            <w:vAlign w:val="center"/>
          </w:tcPr>
          <w:p>
            <w:pPr>
              <w:spacing w:after="0"/>
            </w:pPr>
            <w:r>
              <w:t xml:space="preserve">Red de distribución de contenido (CDN) con TLS y presencia global.</w:t>
            </w:r>
          </w:p>
        </w:tc>
      </w:tr>
      <w:tr>
        <w:tc>
          <w:tcPr>
            <w:tcW w:type="dxa" w:w="2650"/>
            <w:tcMar>
              <w:top w:type="dxa" w:w="90"/>
              <w:left w:type="dxa" w:w="130"/>
              <w:bottom w:type="dxa" w:w="90"/>
              <w:right w:type="dxa" w:w="130"/>
            </w:tcMar>
            <w:vAlign w:val="center"/>
          </w:tcPr>
          <w:p>
            <w:pPr>
              <w:spacing w:after="0"/>
            </w:pPr>
            <w:r>
              <w:t xml:space="preserve">CloudWatch</w:t>
            </w:r>
          </w:p>
        </w:tc>
        <w:tc>
          <w:tcPr>
            <w:tcW w:type="dxa" w:w="6710"/>
            <w:tcMar>
              <w:top w:type="dxa" w:w="90"/>
              <w:left w:type="dxa" w:w="130"/>
              <w:bottom w:type="dxa" w:w="90"/>
              <w:right w:type="dxa" w:w="130"/>
            </w:tcMar>
            <w:vAlign w:val="center"/>
          </w:tcPr>
          <w:p>
            <w:pPr>
              <w:spacing w:after="0"/>
            </w:pPr>
            <w:r>
              <w:t xml:space="preserve">Logs, métricas y alarmas de los recursos de AWS.</w:t>
            </w:r>
          </w:p>
        </w:tc>
      </w:tr>
      <w:tr>
        <w:tc>
          <w:tcPr>
            <w:tcW w:type="dxa" w:w="2650"/>
            <w:tcMar>
              <w:top w:type="dxa" w:w="90"/>
              <w:left w:type="dxa" w:w="130"/>
              <w:bottom w:type="dxa" w:w="90"/>
              <w:right w:type="dxa" w:w="130"/>
            </w:tcMar>
            <w:vAlign w:val="center"/>
          </w:tcPr>
          <w:p>
            <w:pPr>
              <w:spacing w:after="0"/>
            </w:pPr>
            <w:r>
              <w:t xml:space="preserve">SNS</w:t>
            </w:r>
          </w:p>
        </w:tc>
        <w:tc>
          <w:tcPr>
            <w:tcW w:type="dxa" w:w="6710"/>
            <w:tcMar>
              <w:top w:type="dxa" w:w="90"/>
              <w:left w:type="dxa" w:w="130"/>
              <w:bottom w:type="dxa" w:w="90"/>
              <w:right w:type="dxa" w:w="130"/>
            </w:tcMar>
            <w:vAlign w:val="center"/>
          </w:tcPr>
          <w:p>
            <w:pPr>
              <w:spacing w:after="0"/>
            </w:pPr>
            <w:r>
              <w:t xml:space="preserve">Mensajería de publicación/suscripción; en Nexora, avisos por correo.</w:t>
            </w:r>
          </w:p>
        </w:tc>
      </w:tr>
      <w:tr>
        <w:tc>
          <w:tcPr>
            <w:tcW w:type="dxa" w:w="2650"/>
            <w:tcMar>
              <w:top w:type="dxa" w:w="90"/>
              <w:left w:type="dxa" w:w="130"/>
              <w:bottom w:type="dxa" w:w="90"/>
              <w:right w:type="dxa" w:w="130"/>
            </w:tcMar>
            <w:vAlign w:val="center"/>
          </w:tcPr>
          <w:p>
            <w:pPr>
              <w:spacing w:after="0"/>
            </w:pPr>
            <w:r>
              <w:t xml:space="preserve">AWS Budgets</w:t>
            </w:r>
          </w:p>
        </w:tc>
        <w:tc>
          <w:tcPr>
            <w:tcW w:type="dxa" w:w="6710"/>
            <w:tcMar>
              <w:top w:type="dxa" w:w="90"/>
              <w:left w:type="dxa" w:w="130"/>
              <w:bottom w:type="dxa" w:w="90"/>
              <w:right w:type="dxa" w:w="130"/>
            </w:tcMar>
            <w:vAlign w:val="center"/>
          </w:tcPr>
          <w:p>
            <w:pPr>
              <w:spacing w:after="0"/>
            </w:pPr>
            <w:r>
              <w:t xml:space="preserve">Topes de gasto con alertas por umbral (previsto y real).</w:t>
            </w:r>
          </w:p>
        </w:tc>
      </w:tr>
      <w:tr>
        <w:tc>
          <w:tcPr>
            <w:tcW w:type="dxa" w:w="2650"/>
            <w:tcMar>
              <w:top w:type="dxa" w:w="90"/>
              <w:left w:type="dxa" w:w="130"/>
              <w:bottom w:type="dxa" w:w="90"/>
              <w:right w:type="dxa" w:w="130"/>
            </w:tcMar>
            <w:vAlign w:val="center"/>
          </w:tcPr>
          <w:p>
            <w:pPr>
              <w:spacing w:after="0"/>
            </w:pPr>
            <w:r>
              <w:t xml:space="preserve">Cost Explorer</w:t>
            </w:r>
          </w:p>
        </w:tc>
        <w:tc>
          <w:tcPr>
            <w:tcW w:type="dxa" w:w="6710"/>
            <w:tcMar>
              <w:top w:type="dxa" w:w="90"/>
              <w:left w:type="dxa" w:w="130"/>
              <w:bottom w:type="dxa" w:w="90"/>
              <w:right w:type="dxa" w:w="130"/>
            </w:tcMar>
            <w:vAlign w:val="center"/>
          </w:tcPr>
          <w:p>
            <w:pPr>
              <w:spacing w:after="0"/>
            </w:pPr>
            <w:r>
              <w:t xml:space="preserve">Análisis del gasto real por servicio, cuenta y etiqueta.</w:t>
            </w:r>
          </w:p>
        </w:tc>
      </w:tr>
      <w:tr>
        <w:tc>
          <w:tcPr>
            <w:tcW w:type="dxa" w:w="2650"/>
            <w:tcMar>
              <w:top w:type="dxa" w:w="90"/>
              <w:left w:type="dxa" w:w="130"/>
              <w:bottom w:type="dxa" w:w="90"/>
              <w:right w:type="dxa" w:w="130"/>
            </w:tcMar>
            <w:vAlign w:val="center"/>
          </w:tcPr>
          <w:p>
            <w:pPr>
              <w:spacing w:after="0"/>
            </w:pPr>
            <w:r>
              <w:t xml:space="preserve">Pricing Calculator</w:t>
            </w:r>
          </w:p>
        </w:tc>
        <w:tc>
          <w:tcPr>
            <w:tcW w:type="dxa" w:w="6710"/>
            <w:tcMar>
              <w:top w:type="dxa" w:w="90"/>
              <w:left w:type="dxa" w:w="130"/>
              <w:bottom w:type="dxa" w:w="90"/>
              <w:right w:type="dxa" w:w="130"/>
            </w:tcMar>
            <w:vAlign w:val="center"/>
          </w:tcPr>
          <w:p>
            <w:pPr>
              <w:spacing w:after="0"/>
            </w:pPr>
            <w:r>
              <w:t xml:space="preserve">Estimación de costo antes de desplegar.</w:t>
            </w:r>
          </w:p>
        </w:tc>
      </w:tr>
      <w:tr>
        <w:tc>
          <w:tcPr>
            <w:tcW w:type="dxa" w:w="2650"/>
            <w:tcMar>
              <w:top w:type="dxa" w:w="90"/>
              <w:left w:type="dxa" w:w="130"/>
              <w:bottom w:type="dxa" w:w="90"/>
              <w:right w:type="dxa" w:w="130"/>
            </w:tcMar>
            <w:vAlign w:val="center"/>
          </w:tcPr>
          <w:p>
            <w:pPr>
              <w:spacing w:after="0"/>
            </w:pPr>
            <w:r>
              <w:t xml:space="preserve">Free Tier</w:t>
            </w:r>
          </w:p>
        </w:tc>
        <w:tc>
          <w:tcPr>
            <w:tcW w:type="dxa" w:w="6710"/>
            <w:tcMar>
              <w:top w:type="dxa" w:w="90"/>
              <w:left w:type="dxa" w:w="130"/>
              <w:bottom w:type="dxa" w:w="90"/>
              <w:right w:type="dxa" w:w="130"/>
            </w:tcMar>
            <w:vAlign w:val="center"/>
          </w:tcPr>
          <w:p>
            <w:pPr>
              <w:spacing w:after="0"/>
            </w:pPr>
            <w:r>
              <w:t xml:space="preserve">Nivel gratuito con tres modalidades: siempre gratis, 12 meses y pruebas.</w:t>
            </w:r>
          </w:p>
        </w:tc>
      </w:tr>
      <w:tr>
        <w:tc>
          <w:tcPr>
            <w:tcW w:type="dxa" w:w="2650"/>
            <w:tcMar>
              <w:top w:type="dxa" w:w="90"/>
              <w:left w:type="dxa" w:w="130"/>
              <w:bottom w:type="dxa" w:w="90"/>
              <w:right w:type="dxa" w:w="130"/>
            </w:tcMar>
            <w:vAlign w:val="center"/>
          </w:tcPr>
          <w:p>
            <w:pPr>
              <w:spacing w:after="0"/>
            </w:pPr>
            <w:r>
              <w:t xml:space="preserve">Infraestructura como código (IaC)</w:t>
            </w:r>
          </w:p>
        </w:tc>
        <w:tc>
          <w:tcPr>
            <w:tcW w:type="dxa" w:w="6710"/>
            <w:tcMar>
              <w:top w:type="dxa" w:w="90"/>
              <w:left w:type="dxa" w:w="130"/>
              <w:bottom w:type="dxa" w:w="90"/>
              <w:right w:type="dxa" w:w="130"/>
            </w:tcMar>
            <w:vAlign w:val="center"/>
          </w:tcPr>
          <w:p>
            <w:pPr>
              <w:spacing w:after="0"/>
            </w:pPr>
            <w:r>
              <w:t xml:space="preserve">Definir la infraestructura en archivos versionados; en Nexora, Terraform.</w:t>
            </w:r>
          </w:p>
        </w:tc>
      </w:tr>
      <w:tr>
        <w:tc>
          <w:tcPr>
            <w:tcW w:type="dxa" w:w="2650"/>
            <w:tcMar>
              <w:top w:type="dxa" w:w="90"/>
              <w:left w:type="dxa" w:w="130"/>
              <w:bottom w:type="dxa" w:w="90"/>
              <w:right w:type="dxa" w:w="130"/>
            </w:tcMar>
            <w:vAlign w:val="center"/>
          </w:tcPr>
          <w:p>
            <w:pPr>
              <w:spacing w:after="0"/>
            </w:pPr>
            <w:r>
              <w:t xml:space="preserve">Estado de Terraform</w:t>
            </w:r>
          </w:p>
        </w:tc>
        <w:tc>
          <w:tcPr>
            <w:tcW w:type="dxa" w:w="6710"/>
            <w:tcMar>
              <w:top w:type="dxa" w:w="90"/>
              <w:left w:type="dxa" w:w="130"/>
              <w:bottom w:type="dxa" w:w="90"/>
              <w:right w:type="dxa" w:w="130"/>
            </w:tcMar>
            <w:vAlign w:val="center"/>
          </w:tcPr>
          <w:p>
            <w:pPr>
              <w:spacing w:after="0"/>
            </w:pPr>
            <w:r>
              <w:t xml:space="preserve">Archivo que Terraform usa para mapear la configuración con los recursos reales; se guarda en un bucket S3 privado.</w:t>
            </w:r>
          </w:p>
        </w:tc>
      </w:tr>
    </w:tbl>
    <w:p>
      <w:pPr>
        <w:pStyle w:val="Heading1"/>
      </w:pPr>
      <w:r>
        <w:t xml:space="preserve">12. Tarea para la mentee</w:t>
      </w:r>
    </w:p>
    <w:p>
      <w:pPr>
        <w:pStyle w:val="Lead"/>
        <w:spacing w:after="160"/>
      </w:pPr>
      <w:r>
        <w:t xml:space="preserve">Se entrega antes de la Clase 2. Cada punto tiene un criterio de aceptación.</w:t>
      </w:r>
    </w:p>
    <w:tbl>
      <w:tblPr>
        <w:tblW w:type="dxa" w:w="9360"/>
        <w:tblBorders>
          <w:top w:val="single" w:color="C9D2DC" w:sz="4"/>
          <w:left w:val="single" w:color="C9D2DC" w:sz="4"/>
          <w:bottom w:val="single" w:color="C9D2DC" w:sz="4"/>
          <w:right w:val="single" w:color="C9D2DC" w:sz="4"/>
          <w:insideH w:val="single" w:color="D9DEE5" w:sz="4"/>
          <w:insideV w:val="single" w:color="D9DEE5" w:sz="4"/>
        </w:tblBorders>
      </w:tblPr>
      <w:tblGrid>
        <w:gridCol w:w="2650"/>
        <w:gridCol w:w="6710"/>
      </w:tblGrid>
      <w:tr>
        <w:trPr>
          <w:tblHeader/>
        </w:trPr>
        <w:tc>
          <w:tcPr>
            <w:tcW w:type="dxa" w:w="2650"/>
            <w:shd w:fill="E8EDF3" w:color="auto" w:val="clear"/>
            <w:tcMar>
              <w:top w:type="dxa" w:w="90"/>
              <w:left w:type="dxa" w:w="130"/>
              <w:bottom w:type="dxa" w:w="90"/>
              <w:right w:type="dxa" w:w="130"/>
            </w:tcMar>
            <w:vAlign w:val="center"/>
          </w:tcPr>
          <w:p>
            <w:pPr>
              <w:spacing w:after="0"/>
            </w:pPr>
            <w:r>
              <w:rPr>
                <w:b/>
                <w:bCs/>
                <w:color w:val="1F3864"/>
              </w:rPr>
              <w:t xml:space="preserve">Entregable</w:t>
            </w:r>
          </w:p>
        </w:tc>
        <w:tc>
          <w:tcPr>
            <w:tcW w:type="dxa" w:w="6710"/>
            <w:shd w:fill="E8EDF3" w:color="auto" w:val="clear"/>
            <w:tcMar>
              <w:top w:type="dxa" w:w="90"/>
              <w:left w:type="dxa" w:w="130"/>
              <w:bottom w:type="dxa" w:w="90"/>
              <w:right w:type="dxa" w:w="130"/>
            </w:tcMar>
            <w:vAlign w:val="center"/>
          </w:tcPr>
          <w:p>
            <w:pPr>
              <w:spacing w:after="0"/>
            </w:pPr>
            <w:r>
              <w:rPr>
                <w:b/>
                <w:bCs/>
                <w:color w:val="1F3864"/>
              </w:rPr>
              <w:t xml:space="preserve">Criterio de aceptación</w:t>
            </w:r>
          </w:p>
        </w:tc>
      </w:tr>
      <w:tr>
        <w:tc>
          <w:tcPr>
            <w:tcW w:type="dxa" w:w="2650"/>
            <w:tcMar>
              <w:top w:type="dxa" w:w="90"/>
              <w:left w:type="dxa" w:w="130"/>
              <w:bottom w:type="dxa" w:w="90"/>
              <w:right w:type="dxa" w:w="130"/>
            </w:tcMar>
            <w:vAlign w:val="center"/>
          </w:tcPr>
          <w:p>
            <w:pPr>
              <w:spacing w:after="0"/>
            </w:pPr>
            <w:r>
              <w:t xml:space="preserve">Diagrama de la arquitectura</w:t>
            </w:r>
          </w:p>
        </w:tc>
        <w:tc>
          <w:tcPr>
            <w:tcW w:type="dxa" w:w="6710"/>
            <w:tcMar>
              <w:top w:type="dxa" w:w="90"/>
              <w:left w:type="dxa" w:w="130"/>
              <w:bottom w:type="dxa" w:w="90"/>
              <w:right w:type="dxa" w:w="130"/>
            </w:tcMar>
            <w:vAlign w:val="center"/>
          </w:tcPr>
          <w:p>
            <w:pPr>
              <w:spacing w:after="0"/>
            </w:pPr>
            <w:r>
              <w:t xml:space="preserve">Un diagrama propio (a mano o en herramienta) del flujo Usuario → CloudFront → API Gateway → Lambda → DynamoDB, más S3/CloudFront para la web. Debe marcar qué existe hoy y qué es del roadmap.</w:t>
            </w:r>
          </w:p>
        </w:tc>
      </w:tr>
      <w:tr>
        <w:tc>
          <w:tcPr>
            <w:tcW w:type="dxa" w:w="2650"/>
            <w:tcMar>
              <w:top w:type="dxa" w:w="90"/>
              <w:left w:type="dxa" w:w="130"/>
              <w:bottom w:type="dxa" w:w="90"/>
              <w:right w:type="dxa" w:w="130"/>
            </w:tcMar>
            <w:vAlign w:val="center"/>
          </w:tcPr>
          <w:p>
            <w:pPr>
              <w:spacing w:after="0"/>
            </w:pPr>
            <w:r>
              <w:t xml:space="preserve">Explicación de la arquitectura</w:t>
            </w:r>
          </w:p>
        </w:tc>
        <w:tc>
          <w:tcPr>
            <w:tcW w:type="dxa" w:w="6710"/>
            <w:tcMar>
              <w:top w:type="dxa" w:w="90"/>
              <w:left w:type="dxa" w:w="130"/>
              <w:bottom w:type="dxa" w:w="90"/>
              <w:right w:type="dxa" w:w="130"/>
            </w:tcMar>
            <w:vAlign w:val="center"/>
          </w:tcPr>
          <w:p>
            <w:pPr>
              <w:spacing w:after="0"/>
            </w:pPr>
            <w:r>
              <w:t xml:space="preserve">Media página, con sus palabras: qué es Nexora, qué hace cada capa y por qué es serverless.</w:t>
            </w:r>
          </w:p>
        </w:tc>
      </w:tr>
      <w:tr>
        <w:tc>
          <w:tcPr>
            <w:tcW w:type="dxa" w:w="2650"/>
            <w:tcMar>
              <w:top w:type="dxa" w:w="90"/>
              <w:left w:type="dxa" w:w="130"/>
              <w:bottom w:type="dxa" w:w="90"/>
              <w:right w:type="dxa" w:w="130"/>
            </w:tcMar>
            <w:vAlign w:val="center"/>
          </w:tcPr>
          <w:p>
            <w:pPr>
              <w:spacing w:after="0"/>
            </w:pPr>
            <w:r>
              <w:t xml:space="preserve">Glosario de 20 conceptos AWS</w:t>
            </w:r>
          </w:p>
        </w:tc>
        <w:tc>
          <w:tcPr>
            <w:tcW w:type="dxa" w:w="6710"/>
            <w:tcMar>
              <w:top w:type="dxa" w:w="90"/>
              <w:left w:type="dxa" w:w="130"/>
              <w:bottom w:type="dxa" w:w="90"/>
              <w:right w:type="dxa" w:w="130"/>
            </w:tcMar>
            <w:vAlign w:val="center"/>
          </w:tcPr>
          <w:p>
            <w:pPr>
              <w:spacing w:after="0"/>
            </w:pPr>
            <w:r>
              <w:t xml:space="preserve">20 términos definidos con sus palabras (puede partir del glosario de esta guía).</w:t>
            </w:r>
          </w:p>
        </w:tc>
      </w:tr>
      <w:tr>
        <w:tc>
          <w:tcPr>
            <w:tcW w:type="dxa" w:w="2650"/>
            <w:tcMar>
              <w:top w:type="dxa" w:w="90"/>
              <w:left w:type="dxa" w:w="130"/>
              <w:bottom w:type="dxa" w:w="90"/>
              <w:right w:type="dxa" w:w="130"/>
            </w:tcMar>
            <w:vAlign w:val="center"/>
          </w:tcPr>
          <w:p>
            <w:pPr>
              <w:spacing w:after="0"/>
            </w:pPr>
            <w:r>
              <w:t xml:space="preserve">Respuestas a las 10 preguntas de comprensión</w:t>
            </w:r>
          </w:p>
        </w:tc>
        <w:tc>
          <w:tcPr>
            <w:tcW w:type="dxa" w:w="6710"/>
            <w:tcMar>
              <w:top w:type="dxa" w:w="90"/>
              <w:left w:type="dxa" w:w="130"/>
              <w:bottom w:type="dxa" w:w="90"/>
              <w:right w:type="dxa" w:w="130"/>
            </w:tcMar>
            <w:vAlign w:val="center"/>
          </w:tcPr>
          <w:p>
            <w:pPr>
              <w:spacing w:after="0"/>
            </w:pPr>
            <w:r>
              <w:t xml:space="preserve">Sección 9, respondidas sin copiar la respuesta modelo literal.</w:t>
            </w:r>
          </w:p>
        </w:tc>
      </w:tr>
      <w:tr>
        <w:tc>
          <w:tcPr>
            <w:tcW w:type="dxa" w:w="2650"/>
            <w:tcMar>
              <w:top w:type="dxa" w:w="90"/>
              <w:left w:type="dxa" w:w="130"/>
              <w:bottom w:type="dxa" w:w="90"/>
              <w:right w:type="dxa" w:w="130"/>
            </w:tcMar>
            <w:vAlign w:val="center"/>
          </w:tcPr>
          <w:p>
            <w:pPr>
              <w:spacing w:after="0"/>
            </w:pPr>
            <w:r>
              <w:t xml:space="preserve">Evidencia de ejecución local</w:t>
            </w:r>
          </w:p>
        </w:tc>
        <w:tc>
          <w:tcPr>
            <w:tcW w:type="dxa" w:w="6710"/>
            <w:tcMar>
              <w:top w:type="dxa" w:w="90"/>
              <w:left w:type="dxa" w:w="130"/>
              <w:bottom w:type="dxa" w:w="90"/>
              <w:right w:type="dxa" w:w="130"/>
            </w:tcMar>
            <w:vAlign w:val="center"/>
          </w:tcPr>
          <w:p>
            <w:pPr>
              <w:spacing w:after="0"/>
            </w:pPr>
            <w:r>
              <w:t xml:space="preserve">Capturas del laboratorio: dashboard “ready”, describe-table, query de la partición de clientes y el 503 provocado y corregido.</w:t>
            </w:r>
          </w:p>
        </w:tc>
      </w:tr>
      <w:tr>
        <w:tc>
          <w:tcPr>
            <w:tcW w:type="dxa" w:w="2650"/>
            <w:tcMar>
              <w:top w:type="dxa" w:w="90"/>
              <w:left w:type="dxa" w:w="130"/>
              <w:bottom w:type="dxa" w:w="90"/>
              <w:right w:type="dxa" w:w="130"/>
            </w:tcMar>
            <w:vAlign w:val="center"/>
          </w:tcPr>
          <w:p>
            <w:pPr>
              <w:spacing w:after="0"/>
            </w:pPr>
            <w:r>
              <w:t xml:space="preserve">Flujo compra → inventario → venta</w:t>
            </w:r>
          </w:p>
        </w:tc>
        <w:tc>
          <w:tcPr>
            <w:tcW w:type="dxa" w:w="6710"/>
            <w:tcMar>
              <w:top w:type="dxa" w:w="90"/>
              <w:left w:type="dxa" w:w="130"/>
              <w:bottom w:type="dxa" w:w="90"/>
              <w:right w:type="dxa" w:w="130"/>
            </w:tcMar>
            <w:vAlign w:val="center"/>
          </w:tcPr>
          <w:p>
            <w:pPr>
              <w:spacing w:after="0"/>
            </w:pPr>
            <w:r>
              <w:t xml:space="preserve">Explicación escrita de cómo debería comportarse (atómico, sin stock negativo, con auditoría), aunque todavía no haya endpoints.</w:t>
            </w:r>
          </w:p>
        </w:tc>
      </w:tr>
      <w:tr>
        <w:tc>
          <w:tcPr>
            <w:tcW w:type="dxa" w:w="2650"/>
            <w:tcMar>
              <w:top w:type="dxa" w:w="90"/>
              <w:left w:type="dxa" w:w="130"/>
              <w:bottom w:type="dxa" w:w="90"/>
              <w:right w:type="dxa" w:w="130"/>
            </w:tcMar>
            <w:vAlign w:val="center"/>
          </w:tcPr>
          <w:p>
            <w:pPr>
              <w:spacing w:after="0"/>
            </w:pPr>
            <w:r>
              <w:t xml:space="preserve">Tres riesgos de seguridad</w:t>
            </w:r>
          </w:p>
        </w:tc>
        <w:tc>
          <w:tcPr>
            <w:tcW w:type="dxa" w:w="6710"/>
            <w:tcMar>
              <w:top w:type="dxa" w:w="90"/>
              <w:left w:type="dxa" w:w="130"/>
              <w:bottom w:type="dxa" w:w="90"/>
              <w:right w:type="dxa" w:w="130"/>
            </w:tcMar>
            <w:vAlign w:val="center"/>
          </w:tcPr>
          <w:p>
            <w:pPr>
              <w:spacing w:after="0"/>
            </w:pPr>
            <w:r>
              <w:t xml:space="preserve">Tres riesgos concretos del proyecto y su mitigación (por ejemplo: API de lectura pública sin Cognito; credenciales de laboratorio en secrets de GitHub; ausencia de WAF).</w:t>
            </w:r>
          </w:p>
        </w:tc>
      </w:tr>
      <w:tr>
        <w:tc>
          <w:tcPr>
            <w:tcW w:type="dxa" w:w="2650"/>
            <w:tcMar>
              <w:top w:type="dxa" w:w="90"/>
              <w:left w:type="dxa" w:w="130"/>
              <w:bottom w:type="dxa" w:w="90"/>
              <w:right w:type="dxa" w:w="130"/>
            </w:tcMar>
            <w:vAlign w:val="center"/>
          </w:tcPr>
          <w:p>
            <w:pPr>
              <w:spacing w:after="0"/>
            </w:pPr>
            <w:r>
              <w:t xml:space="preserve">Lista de dudas</w:t>
            </w:r>
          </w:p>
        </w:tc>
        <w:tc>
          <w:tcPr>
            <w:tcW w:type="dxa" w:w="6710"/>
            <w:tcMar>
              <w:top w:type="dxa" w:w="90"/>
              <w:left w:type="dxa" w:w="130"/>
              <w:bottom w:type="dxa" w:w="90"/>
              <w:right w:type="dxa" w:w="130"/>
            </w:tcMar>
            <w:vAlign w:val="center"/>
          </w:tcPr>
          <w:p>
            <w:pPr>
              <w:spacing w:after="0"/>
            </w:pPr>
            <w:r>
              <w:t xml:space="preserve">Conceptos que no quedaron claros, para abrir la Clase 2.</w:t>
            </w:r>
          </w:p>
        </w:tc>
      </w:tr>
    </w:tbl>
    <w:p>
      <w:pPr>
        <w:pStyle w:val="Heading1"/>
      </w:pPr>
      <w:r>
        <w:t xml:space="preserve">13. Cierre y puente a la Clase 2</w:t>
      </w:r>
    </w:p>
    <w:p>
      <w:pPr>
        <w:spacing w:after="120"/>
      </w:pPr>
      <w:r>
        <w:t xml:space="preserve">Cierre en voz de la mentee: que explique la arquitectura con sus palabras y dibuje el flujo Usuario → CloudFront → API Gateway → Lambda → DynamoDB en la pizarra.</w:t>
      </w:r>
    </w:p>
    <w:p>
      <w:pPr>
        <w:spacing w:after="120"/>
      </w:pPr>
      <w:r>
        <w:t xml:space="preserve">La Clase 2 sale del roadmap (semanas 2 y 3): modelo de tenant en la tabla, Cognito definido como infraestructura, y JWT con RBAC. El objetivo es el gate G1, “aislamiento de tenant”, con una prueba negativa que demuestre que un tenant no puede leer los datos de otro. Ahí la convención de claves de hoy se convierte en una regla aplicada.</w:t>
      </w:r>
    </w:p>
    <w:p>
      <w:pPr>
        <w:spacing w:after="120"/>
      </w:pPr>
      <w:r>
        <w:t xml:space="preserve">Servicios AWS nuevos que entran en la Clase 2: Amazon Cognito (identidad) y, como concepto, JWT y RBAC. Todo sigue en local con Floci; la cuenta AWS no se toca hasta la semana 9.</w:t>
      </w:r>
    </w:p>
    <w:p>
      <w:pPr>
        <w:pStyle w:val="Heading1"/>
      </w:pPr>
      <w:r>
        <w:t xml:space="preserve">Anexo A. Comandos de referencia rápida</w:t>
      </w:r>
    </w:p>
    <w:p>
      <w:pPr>
        <w:pStyle w:val="Heading3"/>
      </w:pPr>
      <w:r>
        <w:t xml:space="preserve">Arranque</w:t>
      </w:r>
    </w:p>
    <w:p>
      <w:pPr>
        <w:pStyle w:val="Code"/>
        <w:shd w:fill="F3F4F6" w:color="auto" w:val="clear"/>
        <w:spacing w:after="0" w:before="90" w:line="260"/>
        <w:ind w:left="170" w:right="120"/>
      </w:pPr>
      <w:r>
        <w:rPr>
          <w:rFonts w:ascii="Consolas" w:cs="Consolas" w:eastAsia="Consolas" w:hAnsi="Consolas"/>
          <w:sz w:val="17"/>
          <w:szCs w:val="17"/>
        </w:rPr>
        <w:t xml:space="preserve">bun install</w:t>
      </w:r>
    </w:p>
    <w:p>
      <w:pPr>
        <w:pStyle w:val="Code"/>
        <w:shd w:fill="F3F4F6" w:color="auto" w:val="clear"/>
        <w:spacing w:after="0" w:before="0" w:line="260"/>
        <w:ind w:left="170" w:right="120"/>
      </w:pPr>
      <w:r>
        <w:rPr>
          <w:rFonts w:ascii="Consolas" w:cs="Consolas" w:eastAsia="Consolas" w:hAnsi="Consolas"/>
          <w:sz w:val="17"/>
          <w:szCs w:val="17"/>
        </w:rPr>
        <w:t xml:space="preserve">docker compose up -d floci</w:t>
      </w:r>
    </w:p>
    <w:p>
      <w:pPr>
        <w:pStyle w:val="Code"/>
        <w:shd w:fill="F3F4F6" w:color="auto" w:val="clear"/>
        <w:spacing w:after="0" w:before="0" w:line="260"/>
        <w:ind w:left="170" w:right="120"/>
      </w:pPr>
      <w:r>
        <w:rPr>
          <w:rFonts w:ascii="Consolas" w:cs="Consolas" w:eastAsia="Consolas" w:hAnsi="Consolas"/>
          <w:sz w:val="17"/>
          <w:szCs w:val="17"/>
        </w:rPr>
        <w:t xml:space="preserve">terraform -chdir=infra/terraform init</w:t>
      </w:r>
    </w:p>
    <w:p>
      <w:pPr>
        <w:pStyle w:val="Code"/>
        <w:shd w:fill="F3F4F6" w:color="auto" w:val="clear"/>
        <w:spacing w:after="0" w:before="0" w:line="260"/>
        <w:ind w:left="170" w:right="120"/>
      </w:pPr>
      <w:r>
        <w:rPr>
          <w:rFonts w:ascii="Consolas" w:cs="Consolas" w:eastAsia="Consolas" w:hAnsi="Consolas"/>
          <w:sz w:val="17"/>
          <w:szCs w:val="17"/>
        </w:rPr>
        <w:t xml:space="preserve">terraform -chdir=infra/terraform apply -auto-approve</w:t>
      </w:r>
    </w:p>
    <w:p>
      <w:pPr>
        <w:pStyle w:val="Code"/>
        <w:shd w:fill="F3F4F6" w:color="auto" w:val="clear"/>
        <w:spacing w:after="0" w:before="0" w:line="260"/>
        <w:ind w:left="170" w:right="120"/>
      </w:pPr>
      <w:r>
        <w:rPr>
          <w:rFonts w:ascii="Consolas" w:cs="Consolas" w:eastAsia="Consolas" w:hAnsi="Consolas"/>
          <w:sz w:val="17"/>
          <w:szCs w:val="17"/>
        </w:rPr>
        <w:t xml:space="preserve">terraform -chdir=infra/terraform apply -auto-approve</w:t>
      </w:r>
    </w:p>
    <w:p>
      <w:pPr>
        <w:pStyle w:val="Code"/>
        <w:shd w:fill="F3F4F6" w:color="auto" w:val="clear"/>
        <w:spacing w:after="0" w:before="0" w:line="260"/>
        <w:ind w:left="170" w:right="120"/>
      </w:pPr>
      <w:r>
        <w:rPr>
          <w:rFonts w:ascii="Consolas" w:cs="Consolas" w:eastAsia="Consolas" w:hAnsi="Consolas"/>
          <w:sz w:val="17"/>
          <w:szCs w:val="17"/>
        </w:rPr>
        <w:t xml:space="preserve">terraform -chdir=infra/terraform plan -detailed-exitcode        # esperado: exit 0</w:t>
      </w:r>
    </w:p>
    <w:p>
      <w:pPr>
        <w:pStyle w:val="Code"/>
        <w:shd w:fill="F3F4F6" w:color="auto" w:val="clear"/>
        <w:spacing w:after="0" w:before="0" w:line="260"/>
        <w:ind w:left="170" w:right="120"/>
      </w:pPr>
      <w:r>
        <w:rPr>
          <w:rFonts w:ascii="Consolas" w:cs="Consolas" w:eastAsia="Consolas" w:hAnsi="Consolas"/>
          <w:sz w:val="17"/>
          <w:szCs w:val="17"/>
        </w:rPr>
        <w:t xml:space="preserve">docker compose up --build -d api web</w:t>
      </w:r>
    </w:p>
    <w:p>
      <w:pPr>
        <w:pStyle w:val="Code"/>
        <w:shd w:fill="F3F4F6" w:color="auto" w:val="clear"/>
        <w:spacing w:after="170" w:before="0" w:line="260"/>
        <w:ind w:left="170" w:right="120"/>
      </w:pPr>
      <w:r>
        <w:rPr>
          <w:rFonts w:ascii="Consolas" w:cs="Consolas" w:eastAsia="Consolas" w:hAnsi="Consolas"/>
          <w:sz w:val="17"/>
          <w:szCs w:val="17"/>
        </w:rPr>
        <w:t xml:space="preserve">docker compose ps</w:t>
      </w:r>
    </w:p>
    <w:p>
      <w:pPr>
        <w:pStyle w:val="Heading3"/>
      </w:pPr>
      <w:r>
        <w:t xml:space="preserve">Pruebas de humo</w:t>
      </w:r>
    </w:p>
    <w:p>
      <w:pPr>
        <w:pStyle w:val="Code"/>
        <w:shd w:fill="F3F4F6" w:color="auto" w:val="clear"/>
        <w:spacing w:after="0" w:before="90" w:line="260"/>
        <w:ind w:left="170" w:right="120"/>
      </w:pPr>
      <w:r>
        <w:rPr>
          <w:rFonts w:ascii="Consolas" w:cs="Consolas" w:eastAsia="Consolas" w:hAnsi="Consolas"/>
          <w:sz w:val="17"/>
          <w:szCs w:val="17"/>
        </w:rPr>
        <w:t xml:space="preserve">curl http://localhost:3000/health</w:t>
      </w:r>
    </w:p>
    <w:p>
      <w:pPr>
        <w:pStyle w:val="Code"/>
        <w:shd w:fill="F3F4F6" w:color="auto" w:val="clear"/>
        <w:spacing w:after="0" w:before="0" w:line="260"/>
        <w:ind w:left="170" w:right="120"/>
      </w:pPr>
      <w:r>
        <w:rPr>
          <w:rFonts w:ascii="Consolas" w:cs="Consolas" w:eastAsia="Consolas" w:hAnsi="Consolas"/>
          <w:sz w:val="17"/>
          <w:szCs w:val="17"/>
        </w:rPr>
        <w:t xml:space="preserve">curl http://localhost:3000/api/v1/dashboard</w:t>
      </w:r>
    </w:p>
    <w:p>
      <w:pPr>
        <w:pStyle w:val="Code"/>
        <w:shd w:fill="F3F4F6" w:color="auto" w:val="clear"/>
        <w:spacing w:after="170" w:before="0" w:line="260"/>
        <w:ind w:left="170" w:right="120"/>
      </w:pPr>
      <w:r>
        <w:rPr>
          <w:rFonts w:ascii="Consolas" w:cs="Consolas" w:eastAsia="Consolas" w:hAnsi="Consolas"/>
          <w:sz w:val="17"/>
          <w:szCs w:val="17"/>
        </w:rPr>
        <w:t xml:space="preserve"># abrir http://localhost:5173</w:t>
      </w:r>
    </w:p>
    <w:p>
      <w:pPr>
        <w:pStyle w:val="Heading3"/>
      </w:pPr>
      <w:r>
        <w:t xml:space="preserve">Verificación con AWS CLI (contra Floci)</w:t>
      </w:r>
    </w:p>
    <w:p>
      <w:pPr>
        <w:pStyle w:val="Code"/>
        <w:shd w:fill="F3F4F6" w:color="auto" w:val="clear"/>
        <w:spacing w:after="0" w:before="90" w:line="260"/>
        <w:ind w:left="170" w:right="120"/>
      </w:pPr>
      <w:r>
        <w:rPr>
          <w:rFonts w:ascii="Consolas" w:cs="Consolas" w:eastAsia="Consolas" w:hAnsi="Consolas"/>
          <w:sz w:val="17"/>
          <w:szCs w:val="17"/>
        </w:rPr>
        <w:t xml:space="preserve">$env:AWS_ACCESS_KEY_ID='test'</w:t>
      </w:r>
    </w:p>
    <w:p>
      <w:pPr>
        <w:pStyle w:val="Code"/>
        <w:shd w:fill="F3F4F6" w:color="auto" w:val="clear"/>
        <w:spacing w:after="0" w:before="0" w:line="260"/>
        <w:ind w:left="170" w:right="120"/>
      </w:pPr>
      <w:r>
        <w:rPr>
          <w:rFonts w:ascii="Consolas" w:cs="Consolas" w:eastAsia="Consolas" w:hAnsi="Consolas"/>
          <w:sz w:val="17"/>
          <w:szCs w:val="17"/>
        </w:rPr>
        <w:t xml:space="preserve">$env:AWS_SECRET_ACCESS_KEY='test'</w:t>
      </w:r>
    </w:p>
    <w:p>
      <w:pPr>
        <w:pStyle w:val="Code"/>
        <w:shd w:fill="F3F4F6" w:color="auto" w:val="clear"/>
        <w:spacing w:after="0" w:before="0" w:line="260"/>
        <w:ind w:left="170" w:right="120"/>
      </w:pPr>
      <w:r>
        <w:rPr>
          <w:rFonts w:ascii="Consolas" w:cs="Consolas" w:eastAsia="Consolas" w:hAnsi="Consolas"/>
          <w:sz w:val="17"/>
          <w:szCs w:val="17"/>
        </w:rPr>
        <w:t xml:space="preserve">$env:AWS_DEFAULT_REGION='us-east-1'</w:t>
      </w:r>
    </w:p>
    <w:p>
      <w:pPr>
        <w:pStyle w:val="Code"/>
        <w:shd w:fill="F3F4F6" w:color="auto" w:val="clear"/>
        <w:spacing w:after="0" w:before="0" w:line="260"/>
        <w:ind w:left="170" w:right="120"/>
      </w:pPr>
      <w:r>
        <w:rPr>
          <w:rFonts w:ascii="Consolas" w:cs="Consolas" w:eastAsia="Consolas" w:hAnsi="Consolas"/>
          <w:sz w:val="17"/>
          <w:szCs w:val="17"/>
        </w:rPr>
        <w:t xml:space="preserve">aws --endpoint-url http://localhost:4566 dynamodb describe-table --table-name nexora-local</w:t>
      </w:r>
    </w:p>
    <w:p>
      <w:pPr>
        <w:pStyle w:val="Code"/>
        <w:shd w:fill="F3F4F6" w:color="auto" w:val="clear"/>
        <w:spacing w:after="0" w:before="0" w:line="260"/>
        <w:ind w:left="170" w:right="120"/>
      </w:pPr>
      <w:r>
        <w:rPr>
          <w:rFonts w:ascii="Consolas" w:cs="Consolas" w:eastAsia="Consolas" w:hAnsi="Consolas"/>
          <w:sz w:val="17"/>
          <w:szCs w:val="17"/>
        </w:rPr>
        <w:t xml:space="preserve">aws --endpoint-url http://localhost:4566 ec2 describe-vpcs</w:t>
      </w:r>
    </w:p>
    <w:p>
      <w:pPr>
        <w:pStyle w:val="Code"/>
        <w:shd w:fill="F3F4F6" w:color="auto" w:val="clear"/>
        <w:spacing w:after="0" w:before="0" w:line="260"/>
        <w:ind w:left="170" w:right="120"/>
      </w:pPr>
      <w:r>
        <w:rPr>
          <w:rFonts w:ascii="Consolas" w:cs="Consolas" w:eastAsia="Consolas" w:hAnsi="Consolas"/>
          <w:sz w:val="17"/>
          <w:szCs w:val="17"/>
        </w:rPr>
        <w:t xml:space="preserve">aws --endpoint-url http://localhost:4566 ec2 describe-subnets</w:t>
      </w:r>
    </w:p>
    <w:p>
      <w:pPr>
        <w:pStyle w:val="Code"/>
        <w:shd w:fill="F3F4F6" w:color="auto" w:val="clear"/>
        <w:spacing w:after="170" w:before="0" w:line="260"/>
        <w:ind w:left="170" w:right="120"/>
      </w:pPr>
      <w:r>
        <w:rPr>
          <w:rFonts w:ascii="Consolas" w:cs="Consolas" w:eastAsia="Consolas" w:hAnsi="Consolas"/>
          <w:sz w:val="17"/>
          <w:szCs w:val="17"/>
        </w:rPr>
        <w:t xml:space="preserve">aws --endpoint-url http://localhost:4566 ec2 describe-security-groups</w:t>
      </w:r>
    </w:p>
    <w:p>
      <w:pPr>
        <w:pStyle w:val="Heading3"/>
      </w:pPr>
      <w:r>
        <w:t xml:space="preserve">Calidad del proyecto</w:t>
      </w:r>
    </w:p>
    <w:p>
      <w:pPr>
        <w:pStyle w:val="Code"/>
        <w:shd w:fill="F3F4F6" w:color="auto" w:val="clear"/>
        <w:spacing w:after="0" w:before="90" w:line="260"/>
        <w:ind w:left="170" w:right="120"/>
      </w:pPr>
      <w:r>
        <w:rPr>
          <w:rFonts w:ascii="Consolas" w:cs="Consolas" w:eastAsia="Consolas" w:hAnsi="Consolas"/>
          <w:sz w:val="17"/>
          <w:szCs w:val="17"/>
        </w:rPr>
        <w:t xml:space="preserve">bun run typecheck</w:t>
      </w:r>
    </w:p>
    <w:p>
      <w:pPr>
        <w:pStyle w:val="Code"/>
        <w:shd w:fill="F3F4F6" w:color="auto" w:val="clear"/>
        <w:spacing w:after="0" w:before="0" w:line="260"/>
        <w:ind w:left="170" w:right="120"/>
      </w:pPr>
      <w:r>
        <w:rPr>
          <w:rFonts w:ascii="Consolas" w:cs="Consolas" w:eastAsia="Consolas" w:hAnsi="Consolas"/>
          <w:sz w:val="17"/>
          <w:szCs w:val="17"/>
        </w:rPr>
        <w:t xml:space="preserve">bun run test</w:t>
      </w:r>
    </w:p>
    <w:p>
      <w:pPr>
        <w:pStyle w:val="Code"/>
        <w:shd w:fill="F3F4F6" w:color="auto" w:val="clear"/>
        <w:spacing w:after="0" w:before="0" w:line="260"/>
        <w:ind w:left="170" w:right="120"/>
      </w:pPr>
      <w:r>
        <w:rPr>
          <w:rFonts w:ascii="Consolas" w:cs="Consolas" w:eastAsia="Consolas" w:hAnsi="Consolas"/>
          <w:sz w:val="17"/>
          <w:szCs w:val="17"/>
        </w:rPr>
        <w:t xml:space="preserve">bun run build</w:t>
      </w:r>
    </w:p>
    <w:p>
      <w:pPr>
        <w:pStyle w:val="Code"/>
        <w:shd w:fill="F3F4F6" w:color="auto" w:val="clear"/>
        <w:spacing w:after="0" w:before="0" w:line="260"/>
        <w:ind w:left="170" w:right="120"/>
      </w:pPr>
      <w:r>
        <w:rPr>
          <w:rFonts w:ascii="Consolas" w:cs="Consolas" w:eastAsia="Consolas" w:hAnsi="Consolas"/>
          <w:sz w:val="17"/>
          <w:szCs w:val="17"/>
        </w:rPr>
        <w:t xml:space="preserve">terraform -chdir=infra/terraform fmt -check -recursive</w:t>
      </w:r>
    </w:p>
    <w:p>
      <w:pPr>
        <w:pStyle w:val="Code"/>
        <w:shd w:fill="F3F4F6" w:color="auto" w:val="clear"/>
        <w:spacing w:after="170" w:before="0" w:line="260"/>
        <w:ind w:left="170" w:right="120"/>
      </w:pPr>
      <w:r>
        <w:rPr>
          <w:rFonts w:ascii="Consolas" w:cs="Consolas" w:eastAsia="Consolas" w:hAnsi="Consolas"/>
          <w:sz w:val="17"/>
          <w:szCs w:val="17"/>
        </w:rPr>
        <w:t xml:space="preserve">terraform -chdir=infra/terraform validate</w:t>
      </w:r>
    </w:p>
    <w:p>
      <w:pPr>
        <w:pStyle w:val="Heading3"/>
      </w:pPr>
      <w:r>
        <w:t xml:space="preserve">Apagado</w:t>
      </w:r>
    </w:p>
    <w:p>
      <w:pPr>
        <w:pStyle w:val="Code"/>
        <w:shd w:fill="F3F4F6" w:color="auto" w:val="clear"/>
        <w:spacing w:after="0" w:before="90" w:line="260"/>
        <w:ind w:left="170" w:right="120"/>
      </w:pPr>
      <w:r>
        <w:rPr>
          <w:rFonts w:ascii="Consolas" w:cs="Consolas" w:eastAsia="Consolas" w:hAnsi="Consolas"/>
          <w:sz w:val="17"/>
          <w:szCs w:val="17"/>
        </w:rPr>
        <w:t xml:space="preserve">docker compose down</w:t>
      </w:r>
    </w:p>
    <w:p>
      <w:pPr>
        <w:pStyle w:val="Code"/>
        <w:shd w:fill="F3F4F6" w:color="auto" w:val="clear"/>
        <w:spacing w:after="0" w:before="0" w:line="260"/>
        <w:ind w:left="170" w:right="120"/>
      </w:pPr>
      <w:r>
        <w:rPr>
          <w:rFonts w:ascii="Consolas" w:cs="Consolas" w:eastAsia="Consolas" w:hAnsi="Consolas"/>
          <w:sz w:val="17"/>
          <w:szCs w:val="17"/>
        </w:rPr>
        <w:t xml:space="preserve"># para borrar también los datos de Floci:</w:t>
      </w:r>
    </w:p>
    <w:p>
      <w:pPr>
        <w:pStyle w:val="Code"/>
        <w:shd w:fill="F3F4F6" w:color="auto" w:val="clear"/>
        <w:spacing w:after="170" w:before="0" w:line="260"/>
        <w:ind w:left="170" w:right="120"/>
      </w:pPr>
      <w:r>
        <w:rPr>
          <w:rFonts w:ascii="Consolas" w:cs="Consolas" w:eastAsia="Consolas" w:hAnsi="Consolas"/>
          <w:sz w:val="17"/>
          <w:szCs w:val="17"/>
        </w:rPr>
        <w:t xml:space="preserve">docker compose down -v</w:t>
      </w:r>
    </w:p>
    <w:p>
      <w:pPr>
        <w:pStyle w:val="Heading1"/>
      </w:pPr>
      <w:r>
        <w:t xml:space="preserve">Anexo B. Mapa archivo del repo → concepto de examen</w:t>
      </w:r>
    </w:p>
    <w:tbl>
      <w:tblPr>
        <w:tblW w:type="dxa" w:w="9360"/>
        <w:tblBorders>
          <w:top w:val="single" w:color="C9D2DC" w:sz="4"/>
          <w:left w:val="single" w:color="C9D2DC" w:sz="4"/>
          <w:bottom w:val="single" w:color="C9D2DC" w:sz="4"/>
          <w:right w:val="single" w:color="C9D2DC" w:sz="4"/>
          <w:insideH w:val="single" w:color="D9DEE5" w:sz="4"/>
          <w:insideV w:val="single" w:color="D9DEE5" w:sz="4"/>
        </w:tblBorders>
      </w:tblPr>
      <w:tblGrid>
        <w:gridCol w:w="3050"/>
        <w:gridCol w:w="6310"/>
      </w:tblGrid>
      <w:tr>
        <w:trPr>
          <w:tblHeader/>
        </w:trPr>
        <w:tc>
          <w:tcPr>
            <w:tcW w:type="dxa" w:w="3050"/>
            <w:shd w:fill="E8EDF3" w:color="auto" w:val="clear"/>
            <w:tcMar>
              <w:top w:type="dxa" w:w="90"/>
              <w:left w:type="dxa" w:w="130"/>
              <w:bottom w:type="dxa" w:w="90"/>
              <w:right w:type="dxa" w:w="130"/>
            </w:tcMar>
            <w:vAlign w:val="center"/>
          </w:tcPr>
          <w:p>
            <w:pPr>
              <w:spacing w:after="0"/>
            </w:pPr>
            <w:r>
              <w:rPr>
                <w:b/>
                <w:bCs/>
                <w:color w:val="1F3864"/>
              </w:rPr>
              <w:t xml:space="preserve">Archivo</w:t>
            </w:r>
          </w:p>
        </w:tc>
        <w:tc>
          <w:tcPr>
            <w:tcW w:type="dxa" w:w="6310"/>
            <w:shd w:fill="E8EDF3" w:color="auto" w:val="clear"/>
            <w:tcMar>
              <w:top w:type="dxa" w:w="90"/>
              <w:left w:type="dxa" w:w="130"/>
              <w:bottom w:type="dxa" w:w="90"/>
              <w:right w:type="dxa" w:w="130"/>
            </w:tcMar>
            <w:vAlign w:val="center"/>
          </w:tcPr>
          <w:p>
            <w:pPr>
              <w:spacing w:after="0"/>
            </w:pPr>
            <w:r>
              <w:rPr>
                <w:b/>
                <w:bCs/>
                <w:color w:val="1F3864"/>
              </w:rPr>
              <w:t xml:space="preserve">Concepto CLF-C02 que ilustra</w:t>
            </w:r>
          </w:p>
        </w:tc>
      </w:tr>
      <w:tr>
        <w:tc>
          <w:tcPr>
            <w:tcW w:type="dxa" w:w="3050"/>
            <w:tcMar>
              <w:top w:type="dxa" w:w="90"/>
              <w:left w:type="dxa" w:w="130"/>
              <w:bottom w:type="dxa" w:w="90"/>
              <w:right w:type="dxa" w:w="130"/>
            </w:tcMar>
            <w:vAlign w:val="center"/>
          </w:tcPr>
          <w:p>
            <w:pPr>
              <w:spacing w:after="0"/>
            </w:pPr>
            <w:r>
              <w:t xml:space="preserve">apps/api/src/config.ts</w:t>
            </w:r>
          </w:p>
        </w:tc>
        <w:tc>
          <w:tcPr>
            <w:tcW w:type="dxa" w:w="6310"/>
            <w:tcMar>
              <w:top w:type="dxa" w:w="90"/>
              <w:left w:type="dxa" w:w="130"/>
              <w:bottom w:type="dxa" w:w="90"/>
              <w:right w:type="dxa" w:w="130"/>
            </w:tcMar>
            <w:vAlign w:val="center"/>
          </w:tcPr>
          <w:p>
            <w:pPr>
              <w:spacing w:after="0"/>
            </w:pPr>
            <w:r>
              <w:t xml:space="preserve">Modelo de responsabilidad compartida; gestión de secretos; rol frente a claves estáticas.</w:t>
            </w:r>
          </w:p>
        </w:tc>
      </w:tr>
      <w:tr>
        <w:tc>
          <w:tcPr>
            <w:tcW w:type="dxa" w:w="3050"/>
            <w:tcMar>
              <w:top w:type="dxa" w:w="90"/>
              <w:left w:type="dxa" w:w="130"/>
              <w:bottom w:type="dxa" w:w="90"/>
              <w:right w:type="dxa" w:w="130"/>
            </w:tcMar>
            <w:vAlign w:val="center"/>
          </w:tcPr>
          <w:p>
            <w:pPr>
              <w:spacing w:after="0"/>
            </w:pPr>
            <w:r>
              <w:t xml:space="preserve">apps/api/src/dynamo.ts</w:t>
            </w:r>
          </w:p>
        </w:tc>
        <w:tc>
          <w:tcPr>
            <w:tcW w:type="dxa" w:w="6310"/>
            <w:tcMar>
              <w:top w:type="dxa" w:w="90"/>
              <w:left w:type="dxa" w:w="130"/>
              <w:bottom w:type="dxa" w:w="90"/>
              <w:right w:type="dxa" w:w="130"/>
            </w:tcMar>
            <w:vAlign w:val="center"/>
          </w:tcPr>
          <w:p>
            <w:pPr>
              <w:spacing w:after="0"/>
            </w:pPr>
            <w:r>
              <w:t xml:space="preserve">DynamoDB administrada; Query frente a Scan; degradación elegante ante indisponibilidad.</w:t>
            </w:r>
          </w:p>
        </w:tc>
      </w:tr>
      <w:tr>
        <w:tc>
          <w:tcPr>
            <w:tcW w:type="dxa" w:w="3050"/>
            <w:tcMar>
              <w:top w:type="dxa" w:w="90"/>
              <w:left w:type="dxa" w:w="130"/>
              <w:bottom w:type="dxa" w:w="90"/>
              <w:right w:type="dxa" w:w="130"/>
            </w:tcMar>
            <w:vAlign w:val="center"/>
          </w:tcPr>
          <w:p>
            <w:pPr>
              <w:spacing w:after="0"/>
            </w:pPr>
            <w:r>
              <w:t xml:space="preserve">apps/api/src/lambda.ts</w:t>
            </w:r>
          </w:p>
        </w:tc>
        <w:tc>
          <w:tcPr>
            <w:tcW w:type="dxa" w:w="6310"/>
            <w:tcMar>
              <w:top w:type="dxa" w:w="90"/>
              <w:left w:type="dxa" w:w="130"/>
              <w:bottom w:type="dxa" w:w="90"/>
              <w:right w:type="dxa" w:w="130"/>
            </w:tcMar>
            <w:vAlign w:val="center"/>
          </w:tcPr>
          <w:p>
            <w:pPr>
              <w:spacing w:after="0"/>
            </w:pPr>
            <w:r>
              <w:t xml:space="preserve">Cómputo serverless; el mismo dominio corre como proceso o como función.</w:t>
            </w:r>
          </w:p>
        </w:tc>
      </w:tr>
      <w:tr>
        <w:tc>
          <w:tcPr>
            <w:tcW w:type="dxa" w:w="3050"/>
            <w:tcMar>
              <w:top w:type="dxa" w:w="90"/>
              <w:left w:type="dxa" w:w="130"/>
              <w:bottom w:type="dxa" w:w="90"/>
              <w:right w:type="dxa" w:w="130"/>
            </w:tcMar>
            <w:vAlign w:val="center"/>
          </w:tcPr>
          <w:p>
            <w:pPr>
              <w:spacing w:after="0"/>
            </w:pPr>
            <w:r>
              <w:t xml:space="preserve">infra/terraform/networking.tf</w:t>
            </w:r>
          </w:p>
        </w:tc>
        <w:tc>
          <w:tcPr>
            <w:tcW w:type="dxa" w:w="6310"/>
            <w:tcMar>
              <w:top w:type="dxa" w:w="90"/>
              <w:left w:type="dxa" w:w="130"/>
              <w:bottom w:type="dxa" w:w="90"/>
              <w:right w:type="dxa" w:w="130"/>
            </w:tcMar>
            <w:vAlign w:val="center"/>
          </w:tcPr>
          <w:p>
            <w:pPr>
              <w:spacing w:after="0"/>
            </w:pPr>
            <w:r>
              <w:t xml:space="preserve">VPC, subredes públicas y privadas, Internet Gateway, tablas de rutas.</w:t>
            </w:r>
          </w:p>
        </w:tc>
      </w:tr>
      <w:tr>
        <w:tc>
          <w:tcPr>
            <w:tcW w:type="dxa" w:w="3050"/>
            <w:tcMar>
              <w:top w:type="dxa" w:w="90"/>
              <w:left w:type="dxa" w:w="130"/>
              <w:bottom w:type="dxa" w:w="90"/>
              <w:right w:type="dxa" w:w="130"/>
            </w:tcMar>
            <w:vAlign w:val="center"/>
          </w:tcPr>
          <w:p>
            <w:pPr>
              <w:spacing w:after="0"/>
            </w:pPr>
            <w:r>
              <w:t xml:space="preserve">infra/terraform/security_groups.tf</w:t>
            </w:r>
          </w:p>
        </w:tc>
        <w:tc>
          <w:tcPr>
            <w:tcW w:type="dxa" w:w="6310"/>
            <w:tcMar>
              <w:top w:type="dxa" w:w="90"/>
              <w:left w:type="dxa" w:w="130"/>
              <w:bottom w:type="dxa" w:w="90"/>
              <w:right w:type="dxa" w:w="130"/>
            </w:tcMar>
            <w:vAlign w:val="center"/>
          </w:tcPr>
          <w:p>
            <w:pPr>
              <w:spacing w:after="0"/>
            </w:pPr>
            <w:r>
              <w:t xml:space="preserve">Grupos de seguridad por capas; sin SSH/RDP; salida restringida.</w:t>
            </w:r>
          </w:p>
        </w:tc>
      </w:tr>
      <w:tr>
        <w:tc>
          <w:tcPr>
            <w:tcW w:type="dxa" w:w="3050"/>
            <w:tcMar>
              <w:top w:type="dxa" w:w="90"/>
              <w:left w:type="dxa" w:w="130"/>
              <w:bottom w:type="dxa" w:w="90"/>
              <w:right w:type="dxa" w:w="130"/>
            </w:tcMar>
            <w:vAlign w:val="center"/>
          </w:tcPr>
          <w:p>
            <w:pPr>
              <w:spacing w:after="0"/>
            </w:pPr>
            <w:r>
              <w:t xml:space="preserve">infra/aws/app/api.tf</w:t>
            </w:r>
          </w:p>
        </w:tc>
        <w:tc>
          <w:tcPr>
            <w:tcW w:type="dxa" w:w="6310"/>
            <w:tcMar>
              <w:top w:type="dxa" w:w="90"/>
              <w:left w:type="dxa" w:w="130"/>
              <w:bottom w:type="dxa" w:w="90"/>
              <w:right w:type="dxa" w:w="130"/>
            </w:tcMar>
            <w:vAlign w:val="center"/>
          </w:tcPr>
          <w:p>
            <w:pPr>
              <w:spacing w:after="0"/>
            </w:pPr>
            <w:r>
              <w:t xml:space="preserve">IAM de mínimo privilegio; Lambda ARM64; API Gateway con throttling; CloudWatch Logs.</w:t>
            </w:r>
          </w:p>
        </w:tc>
      </w:tr>
      <w:tr>
        <w:tc>
          <w:tcPr>
            <w:tcW w:type="dxa" w:w="3050"/>
            <w:tcMar>
              <w:top w:type="dxa" w:w="90"/>
              <w:left w:type="dxa" w:w="130"/>
              <w:bottom w:type="dxa" w:w="90"/>
              <w:right w:type="dxa" w:w="130"/>
            </w:tcMar>
            <w:vAlign w:val="center"/>
          </w:tcPr>
          <w:p>
            <w:pPr>
              <w:spacing w:after="0"/>
            </w:pPr>
            <w:r>
              <w:t xml:space="preserve">infra/aws/app/cdn.tf</w:t>
            </w:r>
          </w:p>
        </w:tc>
        <w:tc>
          <w:tcPr>
            <w:tcW w:type="dxa" w:w="6310"/>
            <w:tcMar>
              <w:top w:type="dxa" w:w="90"/>
              <w:left w:type="dxa" w:w="130"/>
              <w:bottom w:type="dxa" w:w="90"/>
              <w:right w:type="dxa" w:w="130"/>
            </w:tcMar>
            <w:vAlign w:val="center"/>
          </w:tcPr>
          <w:p>
            <w:pPr>
              <w:spacing w:after="0"/>
            </w:pPr>
            <w:r>
              <w:t xml:space="preserve">CloudFront como CDN; OAC hacia S3 privado; CSP y HSTS.</w:t>
            </w:r>
          </w:p>
        </w:tc>
      </w:tr>
      <w:tr>
        <w:tc>
          <w:tcPr>
            <w:tcW w:type="dxa" w:w="3050"/>
            <w:tcMar>
              <w:top w:type="dxa" w:w="90"/>
              <w:left w:type="dxa" w:w="130"/>
              <w:bottom w:type="dxa" w:w="90"/>
              <w:right w:type="dxa" w:w="130"/>
            </w:tcMar>
            <w:vAlign w:val="center"/>
          </w:tcPr>
          <w:p>
            <w:pPr>
              <w:spacing w:after="0"/>
            </w:pPr>
            <w:r>
              <w:t xml:space="preserve">infra/aws/app/storage.tf</w:t>
            </w:r>
          </w:p>
        </w:tc>
        <w:tc>
          <w:tcPr>
            <w:tcW w:type="dxa" w:w="6310"/>
            <w:tcMar>
              <w:top w:type="dxa" w:w="90"/>
              <w:left w:type="dxa" w:w="130"/>
              <w:bottom w:type="dxa" w:w="90"/>
              <w:right w:type="dxa" w:w="130"/>
            </w:tcMar>
            <w:vAlign w:val="center"/>
          </w:tcPr>
          <w:p>
            <w:pPr>
              <w:spacing w:after="0"/>
            </w:pPr>
            <w:r>
              <w:t xml:space="preserve">S3 con bloqueo público, cifrado y versionado; DynamoDB cifrada bajo demanda.</w:t>
            </w:r>
          </w:p>
        </w:tc>
      </w:tr>
      <w:tr>
        <w:tc>
          <w:tcPr>
            <w:tcW w:type="dxa" w:w="3050"/>
            <w:tcMar>
              <w:top w:type="dxa" w:w="90"/>
              <w:left w:type="dxa" w:w="130"/>
              <w:bottom w:type="dxa" w:w="90"/>
              <w:right w:type="dxa" w:w="130"/>
            </w:tcMar>
            <w:vAlign w:val="center"/>
          </w:tcPr>
          <w:p>
            <w:pPr>
              <w:spacing w:after="0"/>
            </w:pPr>
            <w:r>
              <w:t xml:space="preserve">infra/aws/app/monitoring.tf</w:t>
            </w:r>
          </w:p>
        </w:tc>
        <w:tc>
          <w:tcPr>
            <w:tcW w:type="dxa" w:w="6310"/>
            <w:tcMar>
              <w:top w:type="dxa" w:w="90"/>
              <w:left w:type="dxa" w:w="130"/>
              <w:bottom w:type="dxa" w:w="90"/>
              <w:right w:type="dxa" w:w="130"/>
            </w:tcMar>
            <w:vAlign w:val="center"/>
          </w:tcPr>
          <w:p>
            <w:pPr>
              <w:spacing w:after="0"/>
            </w:pPr>
            <w:r>
              <w:t xml:space="preserve">SNS; alarmas de CloudWatch; AWS Budgets (previsto frente a real).</w:t>
            </w:r>
          </w:p>
        </w:tc>
      </w:tr>
      <w:tr>
        <w:tc>
          <w:tcPr>
            <w:tcW w:type="dxa" w:w="3050"/>
            <w:tcMar>
              <w:top w:type="dxa" w:w="90"/>
              <w:left w:type="dxa" w:w="130"/>
              <w:bottom w:type="dxa" w:w="90"/>
              <w:right w:type="dxa" w:w="130"/>
            </w:tcMar>
            <w:vAlign w:val="center"/>
          </w:tcPr>
          <w:p>
            <w:pPr>
              <w:spacing w:after="0"/>
            </w:pPr>
            <w:r>
              <w:t xml:space="preserve">infra/aws/bootstrap/main.tf</w:t>
            </w:r>
          </w:p>
        </w:tc>
        <w:tc>
          <w:tcPr>
            <w:tcW w:type="dxa" w:w="6310"/>
            <w:tcMar>
              <w:top w:type="dxa" w:w="90"/>
              <w:left w:type="dxa" w:w="130"/>
              <w:bottom w:type="dxa" w:w="90"/>
              <w:right w:type="dxa" w:w="130"/>
            </w:tcMar>
            <w:vAlign w:val="center"/>
          </w:tcPr>
          <w:p>
            <w:pPr>
              <w:spacing w:after="0"/>
            </w:pPr>
            <w:r>
              <w:t xml:space="preserve">Estado remoto de Terraform en S3; prevent_destroy; ciclo de vida de versiones.</w:t>
            </w:r>
          </w:p>
        </w:tc>
      </w:tr>
      <w:tr>
        <w:tc>
          <w:tcPr>
            <w:tcW w:type="dxa" w:w="3050"/>
            <w:tcMar>
              <w:top w:type="dxa" w:w="90"/>
              <w:left w:type="dxa" w:w="130"/>
              <w:bottom w:type="dxa" w:w="90"/>
              <w:right w:type="dxa" w:w="130"/>
            </w:tcMar>
            <w:vAlign w:val="center"/>
          </w:tcPr>
          <w:p>
            <w:pPr>
              <w:spacing w:after="0"/>
            </w:pPr>
            <w:r>
              <w:t xml:space="preserve">.github/workflows/ci.yml</w:t>
            </w:r>
          </w:p>
        </w:tc>
        <w:tc>
          <w:tcPr>
            <w:tcW w:type="dxa" w:w="6310"/>
            <w:tcMar>
              <w:top w:type="dxa" w:w="90"/>
              <w:left w:type="dxa" w:w="130"/>
              <w:bottom w:type="dxa" w:w="90"/>
              <w:right w:type="dxa" w:w="130"/>
            </w:tcMar>
            <w:vAlign w:val="center"/>
          </w:tcPr>
          <w:p>
            <w:pPr>
              <w:spacing w:after="0"/>
            </w:pPr>
            <w:r>
              <w:t xml:space="preserve">Automatización; puerta de calidad; rechazo de claves AWS commiteadas.</w:t>
            </w:r>
          </w:p>
        </w:tc>
      </w:tr>
      <w:tr>
        <w:tc>
          <w:tcPr>
            <w:tcW w:type="dxa" w:w="3050"/>
            <w:tcMar>
              <w:top w:type="dxa" w:w="90"/>
              <w:left w:type="dxa" w:w="130"/>
              <w:bottom w:type="dxa" w:w="90"/>
              <w:right w:type="dxa" w:w="130"/>
            </w:tcMar>
            <w:vAlign w:val="center"/>
          </w:tcPr>
          <w:p>
            <w:pPr>
              <w:spacing w:after="0"/>
            </w:pPr>
            <w:r>
              <w:t xml:space="preserve">.github/workflows/deploy-aws-lab.yml</w:t>
            </w:r>
          </w:p>
        </w:tc>
        <w:tc>
          <w:tcPr>
            <w:tcW w:type="dxa" w:w="6310"/>
            <w:tcMar>
              <w:top w:type="dxa" w:w="90"/>
              <w:left w:type="dxa" w:w="130"/>
              <w:bottom w:type="dxa" w:w="90"/>
              <w:right w:type="dxa" w:w="130"/>
            </w:tcMar>
            <w:vAlign w:val="center"/>
          </w:tcPr>
          <w:p>
            <w:pPr>
              <w:spacing w:after="0"/>
            </w:pPr>
            <w:r>
              <w:t xml:space="preserve">Despliegue controlado; verificación de cuenta con STS; entorno protegido; confirmación manual.</w:t>
            </w:r>
          </w:p>
        </w:tc>
      </w:tr>
    </w:tbl>
    <w:p>
      <w:pPr>
        <w:pStyle w:val="Heading1"/>
      </w:pPr>
      <w:r>
        <w:t xml:space="preserve">Anexo C. Estado real frente a planificado (detalle)</w:t>
      </w:r>
    </w:p>
    <w:tbl>
      <w:tblPr>
        <w:tblW w:type="dxa" w:w="9360"/>
        <w:tblBorders>
          <w:top w:val="single" w:color="C9D2DC" w:sz="4"/>
          <w:left w:val="single" w:color="C9D2DC" w:sz="4"/>
          <w:bottom w:val="single" w:color="C9D2DC" w:sz="4"/>
          <w:right w:val="single" w:color="C9D2DC" w:sz="4"/>
          <w:insideH w:val="single" w:color="D9DEE5" w:sz="4"/>
          <w:insideV w:val="single" w:color="D9DEE5" w:sz="4"/>
        </w:tblBorders>
      </w:tblPr>
      <w:tblGrid>
        <w:gridCol w:w="1900"/>
        <w:gridCol w:w="3730"/>
        <w:gridCol w:w="3730"/>
      </w:tblGrid>
      <w:tr>
        <w:trPr>
          <w:tblHeader/>
        </w:trPr>
        <w:tc>
          <w:tcPr>
            <w:tcW w:type="dxa" w:w="1900"/>
            <w:shd w:fill="E8EDF3" w:color="auto" w:val="clear"/>
            <w:tcMar>
              <w:top w:type="dxa" w:w="90"/>
              <w:left w:type="dxa" w:w="130"/>
              <w:bottom w:type="dxa" w:w="90"/>
              <w:right w:type="dxa" w:w="130"/>
            </w:tcMar>
            <w:vAlign w:val="center"/>
          </w:tcPr>
          <w:p>
            <w:pPr>
              <w:spacing w:after="0"/>
            </w:pPr>
            <w:r>
              <w:rPr>
                <w:b/>
                <w:bCs/>
                <w:color w:val="1F3864"/>
              </w:rPr>
              <w:t xml:space="preserve">Capacidad</w:t>
            </w:r>
          </w:p>
        </w:tc>
        <w:tc>
          <w:tcPr>
            <w:tcW w:type="dxa" w:w="3730"/>
            <w:shd w:fill="E8EDF3" w:color="auto" w:val="clear"/>
            <w:tcMar>
              <w:top w:type="dxa" w:w="90"/>
              <w:left w:type="dxa" w:w="130"/>
              <w:bottom w:type="dxa" w:w="90"/>
              <w:right w:type="dxa" w:w="130"/>
            </w:tcMar>
            <w:vAlign w:val="center"/>
          </w:tcPr>
          <w:p>
            <w:pPr>
              <w:spacing w:after="0"/>
            </w:pPr>
            <w:r>
              <w:rPr>
                <w:b/>
                <w:bCs/>
                <w:color w:val="1F3864"/>
              </w:rPr>
              <w:t xml:space="preserve">Hoy</w:t>
            </w:r>
          </w:p>
        </w:tc>
        <w:tc>
          <w:tcPr>
            <w:tcW w:type="dxa" w:w="3730"/>
            <w:shd w:fill="E8EDF3" w:color="auto" w:val="clear"/>
            <w:tcMar>
              <w:top w:type="dxa" w:w="90"/>
              <w:left w:type="dxa" w:w="130"/>
              <w:bottom w:type="dxa" w:w="90"/>
              <w:right w:type="dxa" w:w="130"/>
            </w:tcMar>
            <w:vAlign w:val="center"/>
          </w:tcPr>
          <w:p>
            <w:pPr>
              <w:spacing w:after="0"/>
            </w:pPr>
            <w:r>
              <w:rPr>
                <w:b/>
                <w:bCs/>
                <w:color w:val="1F3864"/>
              </w:rPr>
              <w:t xml:space="preserve">Roadmap</w:t>
            </w:r>
          </w:p>
        </w:tc>
      </w:tr>
      <w:tr>
        <w:tc>
          <w:tcPr>
            <w:tcW w:type="dxa" w:w="1900"/>
            <w:tcMar>
              <w:top w:type="dxa" w:w="90"/>
              <w:left w:type="dxa" w:w="130"/>
              <w:bottom w:type="dxa" w:w="90"/>
              <w:right w:type="dxa" w:w="130"/>
            </w:tcMar>
            <w:vAlign w:val="center"/>
          </w:tcPr>
          <w:p>
            <w:pPr>
              <w:spacing w:after="0"/>
            </w:pPr>
            <w:r>
              <w:t xml:space="preserve">Salud de la API</w:t>
            </w:r>
          </w:p>
        </w:tc>
        <w:tc>
          <w:tcPr>
            <w:tcW w:type="dxa" w:w="3730"/>
            <w:tcMar>
              <w:top w:type="dxa" w:w="90"/>
              <w:left w:type="dxa" w:w="130"/>
              <w:bottom w:type="dxa" w:w="90"/>
              <w:right w:type="dxa" w:w="130"/>
            </w:tcMar>
            <w:vAlign w:val="center"/>
          </w:tcPr>
          <w:p>
            <w:pPr>
              <w:spacing w:after="0"/>
            </w:pPr>
            <w:r>
              <w:t xml:space="preserve">GET /health operativo y probado.</w:t>
            </w:r>
          </w:p>
        </w:tc>
        <w:tc>
          <w:tcPr>
            <w:tcW w:type="dxa" w:w="3730"/>
            <w:tcMar>
              <w:top w:type="dxa" w:w="90"/>
              <w:left w:type="dxa" w:w="130"/>
              <w:bottom w:type="dxa" w:w="90"/>
              <w:right w:type="dxa" w:w="130"/>
            </w:tcMar>
            <w:vAlign w:val="center"/>
          </w:tcPr>
          <w:p>
            <w:pPr>
              <w:spacing w:after="0"/>
            </w:pPr>
            <w:r>
              <w:t xml:space="preserve">Se mantiene.</w:t>
            </w:r>
          </w:p>
        </w:tc>
      </w:tr>
      <w:tr>
        <w:tc>
          <w:tcPr>
            <w:tcW w:type="dxa" w:w="1900"/>
            <w:tcMar>
              <w:top w:type="dxa" w:w="90"/>
              <w:left w:type="dxa" w:w="130"/>
              <w:bottom w:type="dxa" w:w="90"/>
              <w:right w:type="dxa" w:w="130"/>
            </w:tcMar>
            <w:vAlign w:val="center"/>
          </w:tcPr>
          <w:p>
            <w:pPr>
              <w:spacing w:after="0"/>
            </w:pPr>
            <w:r>
              <w:t xml:space="preserve">Dashboard</w:t>
            </w:r>
          </w:p>
        </w:tc>
        <w:tc>
          <w:tcPr>
            <w:tcW w:type="dxa" w:w="3730"/>
            <w:tcMar>
              <w:top w:type="dxa" w:w="90"/>
              <w:left w:type="dxa" w:w="130"/>
              <w:bottom w:type="dxa" w:w="90"/>
              <w:right w:type="dxa" w:w="130"/>
            </w:tcMar>
            <w:vAlign w:val="center"/>
          </w:tcPr>
          <w:p>
            <w:pPr>
              <w:spacing w:after="0"/>
            </w:pPr>
            <w:r>
              <w:t xml:space="preserve">GET /api/v1/dashboard cuenta clientes, productos, ventas y notificaciones. stockUnits y salesTotalMinor fijados en 0.</w:t>
            </w:r>
          </w:p>
        </w:tc>
        <w:tc>
          <w:tcPr>
            <w:tcW w:type="dxa" w:w="3730"/>
            <w:tcMar>
              <w:top w:type="dxa" w:w="90"/>
              <w:left w:type="dxa" w:w="130"/>
              <w:bottom w:type="dxa" w:w="90"/>
              <w:right w:type="dxa" w:w="130"/>
            </w:tcMar>
            <w:vAlign w:val="center"/>
          </w:tcPr>
          <w:p>
            <w:pPr>
              <w:spacing w:after="0"/>
            </w:pPr>
            <w:r>
              <w:t xml:space="preserve">Cálculo real de stock y totales (semana 4).</w:t>
            </w:r>
          </w:p>
        </w:tc>
      </w:tr>
      <w:tr>
        <w:tc>
          <w:tcPr>
            <w:tcW w:type="dxa" w:w="1900"/>
            <w:tcMar>
              <w:top w:type="dxa" w:w="90"/>
              <w:left w:type="dxa" w:w="130"/>
              <w:bottom w:type="dxa" w:w="90"/>
              <w:right w:type="dxa" w:w="130"/>
            </w:tcMar>
            <w:vAlign w:val="center"/>
          </w:tcPr>
          <w:p>
            <w:pPr>
              <w:spacing w:after="0"/>
            </w:pPr>
            <w:r>
              <w:t xml:space="preserve">Autenticación</w:t>
            </w:r>
          </w:p>
        </w:tc>
        <w:tc>
          <w:tcPr>
            <w:tcW w:type="dxa" w:w="3730"/>
            <w:tcMar>
              <w:top w:type="dxa" w:w="90"/>
              <w:left w:type="dxa" w:w="130"/>
              <w:bottom w:type="dxa" w:w="90"/>
              <w:right w:type="dxa" w:w="130"/>
            </w:tcMar>
            <w:vAlign w:val="center"/>
          </w:tcPr>
          <w:p>
            <w:pPr>
              <w:spacing w:after="0"/>
            </w:pPr>
            <w:r>
              <w:t xml:space="preserve">No hay.</w:t>
            </w:r>
          </w:p>
        </w:tc>
        <w:tc>
          <w:tcPr>
            <w:tcW w:type="dxa" w:w="3730"/>
            <w:tcMar>
              <w:top w:type="dxa" w:w="90"/>
              <w:left w:type="dxa" w:w="130"/>
              <w:bottom w:type="dxa" w:w="90"/>
              <w:right w:type="dxa" w:w="130"/>
            </w:tcMar>
            <w:vAlign w:val="center"/>
          </w:tcPr>
          <w:p>
            <w:pPr>
              <w:spacing w:after="0"/>
            </w:pPr>
            <w:r>
              <w:t xml:space="preserve">Sesión admin local (sem. 1); Cognito + JWT/RBAC (sem. 2–3).</w:t>
            </w:r>
          </w:p>
        </w:tc>
      </w:tr>
      <w:tr>
        <w:tc>
          <w:tcPr>
            <w:tcW w:type="dxa" w:w="1900"/>
            <w:tcMar>
              <w:top w:type="dxa" w:w="90"/>
              <w:left w:type="dxa" w:w="130"/>
              <w:bottom w:type="dxa" w:w="90"/>
              <w:right w:type="dxa" w:w="130"/>
            </w:tcMar>
            <w:vAlign w:val="center"/>
          </w:tcPr>
          <w:p>
            <w:pPr>
              <w:spacing w:after="0"/>
            </w:pPr>
            <w:r>
              <w:t xml:space="preserve">Clientes / proveedores / productos</w:t>
            </w:r>
          </w:p>
        </w:tc>
        <w:tc>
          <w:tcPr>
            <w:tcW w:type="dxa" w:w="3730"/>
            <w:tcMar>
              <w:top w:type="dxa" w:w="90"/>
              <w:left w:type="dxa" w:w="130"/>
              <w:bottom w:type="dxa" w:w="90"/>
              <w:right w:type="dxa" w:w="130"/>
            </w:tcMar>
            <w:vAlign w:val="center"/>
          </w:tcPr>
          <w:p>
            <w:pPr>
              <w:spacing w:after="0"/>
            </w:pPr>
            <w:r>
              <w:t xml:space="preserve">Sin endpoints; solo el modelo de claves.</w:t>
            </w:r>
          </w:p>
        </w:tc>
        <w:tc>
          <w:tcPr>
            <w:tcW w:type="dxa" w:w="3730"/>
            <w:tcMar>
              <w:top w:type="dxa" w:w="90"/>
              <w:left w:type="dxa" w:w="130"/>
              <w:bottom w:type="dxa" w:w="90"/>
              <w:right w:type="dxa" w:w="130"/>
            </w:tcMar>
            <w:vAlign w:val="center"/>
          </w:tcPr>
          <w:p>
            <w:pPr>
              <w:spacing w:after="0"/>
            </w:pPr>
            <w:r>
              <w:t xml:space="preserve">Alta y listado con validación (sem. 2–3).</w:t>
            </w:r>
          </w:p>
        </w:tc>
      </w:tr>
      <w:tr>
        <w:tc>
          <w:tcPr>
            <w:tcW w:type="dxa" w:w="1900"/>
            <w:tcMar>
              <w:top w:type="dxa" w:w="90"/>
              <w:left w:type="dxa" w:w="130"/>
              <w:bottom w:type="dxa" w:w="90"/>
              <w:right w:type="dxa" w:w="130"/>
            </w:tcMar>
            <w:vAlign w:val="center"/>
          </w:tcPr>
          <w:p>
            <w:pPr>
              <w:spacing w:after="0"/>
            </w:pPr>
            <w:r>
              <w:t xml:space="preserve">Inventario</w:t>
            </w:r>
          </w:p>
        </w:tc>
        <w:tc>
          <w:tcPr>
            <w:tcW w:type="dxa" w:w="3730"/>
            <w:tcMar>
              <w:top w:type="dxa" w:w="90"/>
              <w:left w:type="dxa" w:w="130"/>
              <w:bottom w:type="dxa" w:w="90"/>
              <w:right w:type="dxa" w:w="130"/>
            </w:tcMar>
            <w:vAlign w:val="center"/>
          </w:tcPr>
          <w:p>
            <w:pPr>
              <w:spacing w:after="0"/>
            </w:pPr>
            <w:r>
              <w:t xml:space="preserve">Sin endpoints.</w:t>
            </w:r>
          </w:p>
        </w:tc>
        <w:tc>
          <w:tcPr>
            <w:tcW w:type="dxa" w:w="3730"/>
            <w:tcMar>
              <w:top w:type="dxa" w:w="90"/>
              <w:left w:type="dxa" w:w="130"/>
              <w:bottom w:type="dxa" w:w="90"/>
              <w:right w:type="dxa" w:w="130"/>
            </w:tcMar>
            <w:vAlign w:val="center"/>
          </w:tcPr>
          <w:p>
            <w:pPr>
              <w:spacing w:after="0"/>
            </w:pPr>
            <w:r>
              <w:t xml:space="preserve">Consulta de stock y movimientos paginados (sem. 4).</w:t>
            </w:r>
          </w:p>
        </w:tc>
      </w:tr>
      <w:tr>
        <w:tc>
          <w:tcPr>
            <w:tcW w:type="dxa" w:w="1900"/>
            <w:tcMar>
              <w:top w:type="dxa" w:w="90"/>
              <w:left w:type="dxa" w:w="130"/>
              <w:bottom w:type="dxa" w:w="90"/>
              <w:right w:type="dxa" w:w="130"/>
            </w:tcMar>
            <w:vAlign w:val="center"/>
          </w:tcPr>
          <w:p>
            <w:pPr>
              <w:spacing w:after="0"/>
            </w:pPr>
            <w:r>
              <w:t xml:space="preserve">Compras y ventas</w:t>
            </w:r>
          </w:p>
        </w:tc>
        <w:tc>
          <w:tcPr>
            <w:tcW w:type="dxa" w:w="3730"/>
            <w:tcMar>
              <w:top w:type="dxa" w:w="90"/>
              <w:left w:type="dxa" w:w="130"/>
              <w:bottom w:type="dxa" w:w="90"/>
              <w:right w:type="dxa" w:w="130"/>
            </w:tcMar>
            <w:vAlign w:val="center"/>
          </w:tcPr>
          <w:p>
            <w:pPr>
              <w:spacing w:after="0"/>
            </w:pPr>
            <w:r>
              <w:t xml:space="preserve">Sin endpoints.</w:t>
            </w:r>
          </w:p>
        </w:tc>
        <w:tc>
          <w:tcPr>
            <w:tcW w:type="dxa" w:w="3730"/>
            <w:tcMar>
              <w:top w:type="dxa" w:w="90"/>
              <w:left w:type="dxa" w:w="130"/>
              <w:bottom w:type="dxa" w:w="90"/>
              <w:right w:type="dxa" w:w="130"/>
            </w:tcMar>
            <w:vAlign w:val="center"/>
          </w:tcPr>
          <w:p>
            <w:pPr>
              <w:spacing w:after="0"/>
            </w:pPr>
            <w:r>
              <w:t xml:space="preserve">Transaccionales, idempotentes, sin stock negativo (sem. 5).</w:t>
            </w:r>
          </w:p>
        </w:tc>
      </w:tr>
      <w:tr>
        <w:tc>
          <w:tcPr>
            <w:tcW w:type="dxa" w:w="1900"/>
            <w:tcMar>
              <w:top w:type="dxa" w:w="90"/>
              <w:left w:type="dxa" w:w="130"/>
              <w:bottom w:type="dxa" w:w="90"/>
              <w:right w:type="dxa" w:w="130"/>
            </w:tcMar>
            <w:vAlign w:val="center"/>
          </w:tcPr>
          <w:p>
            <w:pPr>
              <w:spacing w:after="0"/>
            </w:pPr>
            <w:r>
              <w:t xml:space="preserve">Auditoría y alertas</w:t>
            </w:r>
          </w:p>
        </w:tc>
        <w:tc>
          <w:tcPr>
            <w:tcW w:type="dxa" w:w="3730"/>
            <w:tcMar>
              <w:top w:type="dxa" w:w="90"/>
              <w:left w:type="dxa" w:w="130"/>
              <w:bottom w:type="dxa" w:w="90"/>
              <w:right w:type="dxa" w:w="130"/>
            </w:tcMar>
            <w:vAlign w:val="center"/>
          </w:tcPr>
          <w:p>
            <w:pPr>
              <w:spacing w:after="0"/>
            </w:pPr>
            <w:r>
              <w:t xml:space="preserve">Sin endpoints; partición de notificaciones ya se cuenta.</w:t>
            </w:r>
          </w:p>
        </w:tc>
        <w:tc>
          <w:tcPr>
            <w:tcW w:type="dxa" w:w="3730"/>
            <w:tcMar>
              <w:top w:type="dxa" w:w="90"/>
              <w:left w:type="dxa" w:w="130"/>
              <w:bottom w:type="dxa" w:w="90"/>
              <w:right w:type="dxa" w:w="130"/>
            </w:tcMar>
            <w:vAlign w:val="center"/>
          </w:tcPr>
          <w:p>
            <w:pPr>
              <w:spacing w:after="0"/>
            </w:pPr>
            <w:r>
              <w:t xml:space="preserve">Registro automático y alerta interna de stock bajo (sem. 6).</w:t>
            </w:r>
          </w:p>
        </w:tc>
      </w:tr>
      <w:tr>
        <w:tc>
          <w:tcPr>
            <w:tcW w:type="dxa" w:w="1900"/>
            <w:tcMar>
              <w:top w:type="dxa" w:w="90"/>
              <w:left w:type="dxa" w:w="130"/>
              <w:bottom w:type="dxa" w:w="90"/>
              <w:right w:type="dxa" w:w="130"/>
            </w:tcMar>
            <w:vAlign w:val="center"/>
          </w:tcPr>
          <w:p>
            <w:pPr>
              <w:spacing w:after="0"/>
            </w:pPr>
            <w:r>
              <w:t xml:space="preserve">Suscripciones</w:t>
            </w:r>
          </w:p>
        </w:tc>
        <w:tc>
          <w:tcPr>
            <w:tcW w:type="dxa" w:w="3730"/>
            <w:tcMar>
              <w:top w:type="dxa" w:w="90"/>
              <w:left w:type="dxa" w:w="130"/>
              <w:bottom w:type="dxa" w:w="90"/>
              <w:right w:type="dxa" w:w="130"/>
            </w:tcMar>
            <w:vAlign w:val="center"/>
          </w:tcPr>
          <w:p>
            <w:pPr>
              <w:spacing w:after="0"/>
            </w:pPr>
            <w:r>
              <w:t xml:space="preserve">Fuera de alcance en Clase 1.</w:t>
            </w:r>
          </w:p>
        </w:tc>
        <w:tc>
          <w:tcPr>
            <w:tcW w:type="dxa" w:w="3730"/>
            <w:tcMar>
              <w:top w:type="dxa" w:w="90"/>
              <w:left w:type="dxa" w:w="130"/>
              <w:bottom w:type="dxa" w:w="90"/>
              <w:right w:type="dxa" w:w="130"/>
            </w:tcMar>
            <w:vAlign w:val="center"/>
          </w:tcPr>
          <w:p>
            <w:pPr>
              <w:spacing w:after="0"/>
            </w:pPr>
            <w:r>
              <w:t xml:space="preserve">Plan único, checkout sandbox y webhook (sem. 7).</w:t>
            </w:r>
          </w:p>
        </w:tc>
      </w:tr>
      <w:tr>
        <w:tc>
          <w:tcPr>
            <w:tcW w:type="dxa" w:w="1900"/>
            <w:tcMar>
              <w:top w:type="dxa" w:w="90"/>
              <w:left w:type="dxa" w:w="130"/>
              <w:bottom w:type="dxa" w:w="90"/>
              <w:right w:type="dxa" w:w="130"/>
            </w:tcMar>
            <w:vAlign w:val="center"/>
          </w:tcPr>
          <w:p>
            <w:pPr>
              <w:spacing w:after="0"/>
            </w:pPr>
            <w:r>
              <w:t xml:space="preserve">Despliegue AWS</w:t>
            </w:r>
          </w:p>
        </w:tc>
        <w:tc>
          <w:tcPr>
            <w:tcW w:type="dxa" w:w="3730"/>
            <w:tcMar>
              <w:top w:type="dxa" w:w="90"/>
              <w:left w:type="dxa" w:w="130"/>
              <w:bottom w:type="dxa" w:w="90"/>
              <w:right w:type="dxa" w:w="130"/>
            </w:tcMar>
            <w:vAlign w:val="center"/>
          </w:tcPr>
          <w:p>
            <w:pPr>
              <w:spacing w:after="0"/>
            </w:pPr>
            <w:r>
              <w:t xml:space="preserve">IaC escrito; workflows manuales; nada desplegado.</w:t>
            </w:r>
          </w:p>
        </w:tc>
        <w:tc>
          <w:tcPr>
            <w:tcW w:type="dxa" w:w="3730"/>
            <w:tcMar>
              <w:top w:type="dxa" w:w="90"/>
              <w:left w:type="dxa" w:w="130"/>
              <w:bottom w:type="dxa" w:w="90"/>
              <w:right w:type="dxa" w:w="130"/>
            </w:tcMar>
            <w:vAlign w:val="center"/>
          </w:tcPr>
          <w:p>
            <w:pPr>
              <w:spacing w:after="0"/>
            </w:pPr>
            <w:r>
              <w:t xml:space="preserve">Laboratorio serverless con budget (sem. 9–10, gate G4).</w:t>
            </w:r>
          </w:p>
        </w:tc>
      </w:tr>
      <w:tr>
        <w:tc>
          <w:tcPr>
            <w:tcW w:type="dxa" w:w="1900"/>
            <w:tcMar>
              <w:top w:type="dxa" w:w="90"/>
              <w:left w:type="dxa" w:w="130"/>
              <w:bottom w:type="dxa" w:w="90"/>
              <w:right w:type="dxa" w:w="130"/>
            </w:tcMar>
            <w:vAlign w:val="center"/>
          </w:tcPr>
          <w:p>
            <w:pPr>
              <w:spacing w:after="0"/>
            </w:pPr>
            <w:r>
              <w:t xml:space="preserve">Red privada real</w:t>
            </w:r>
          </w:p>
        </w:tc>
        <w:tc>
          <w:tcPr>
            <w:tcW w:type="dxa" w:w="3730"/>
            <w:tcMar>
              <w:top w:type="dxa" w:w="90"/>
              <w:left w:type="dxa" w:w="130"/>
              <w:bottom w:type="dxa" w:w="90"/>
              <w:right w:type="dxa" w:w="130"/>
            </w:tcMar>
            <w:vAlign w:val="center"/>
          </w:tcPr>
          <w:p>
            <w:pPr>
              <w:spacing w:after="0"/>
            </w:pPr>
            <w:r>
              <w:t xml:space="preserve">VPC emulada en Floci.</w:t>
            </w:r>
          </w:p>
        </w:tc>
        <w:tc>
          <w:tcPr>
            <w:tcW w:type="dxa" w:w="3730"/>
            <w:tcMar>
              <w:top w:type="dxa" w:w="90"/>
              <w:left w:type="dxa" w:w="130"/>
              <w:bottom w:type="dxa" w:w="90"/>
              <w:right w:type="dxa" w:w="130"/>
            </w:tcMar>
            <w:vAlign w:val="center"/>
          </w:tcPr>
          <w:p>
            <w:pPr>
              <w:spacing w:after="0"/>
            </w:pPr>
            <w:r>
              <w:t xml:space="preserve">Runtime privado solo si una fase lo necesita.</w:t>
            </w:r>
          </w:p>
        </w:tc>
      </w:tr>
    </w:tbl>
    <w:p>
      <w:pPr>
        <w:pStyle w:val="Heading1"/>
      </w:pPr>
      <w:r>
        <w:t xml:space="preserve">Anexo D. Fuentes oficiales</w:t>
      </w:r>
    </w:p>
    <w:p>
      <w:pPr>
        <w:pStyle w:val="ListParagraph"/>
        <w:numPr>
          <w:ilvl w:val="0"/>
          <w:numId w:val="2"/>
        </w:numPr>
        <w:spacing w:after="60"/>
      </w:pPr>
      <w:hyperlink w:history="1" r:id="rId7-bfqp-tjzh8futpaob4b">
        <w:r>
          <w:rPr>
            <w:color w:val="1155CC"/>
            <w:u w:val="single"/>
          </w:rPr>
          <w:t xml:space="preserve">AWS Well-Architected Framework — los seis pilares</w:t>
        </w:r>
      </w:hyperlink>
    </w:p>
    <w:p>
      <w:pPr>
        <w:pStyle w:val="ListParagraph"/>
        <w:numPr>
          <w:ilvl w:val="0"/>
          <w:numId w:val="2"/>
        </w:numPr>
        <w:spacing w:after="60"/>
      </w:pPr>
      <w:hyperlink w:history="1" r:id="rIdbjr6gvgdfo_jqnlafhlzb">
        <w:r>
          <w:rPr>
            <w:color w:val="1155CC"/>
            <w:u w:val="single"/>
          </w:rPr>
          <w:t xml:space="preserve">AWS Well-Architected — SaaS Lens</w:t>
        </w:r>
      </w:hyperlink>
    </w:p>
    <w:p>
      <w:pPr>
        <w:pStyle w:val="ListParagraph"/>
        <w:numPr>
          <w:ilvl w:val="0"/>
          <w:numId w:val="2"/>
        </w:numPr>
        <w:spacing w:after="60"/>
      </w:pPr>
      <w:hyperlink w:history="1" r:id="rIdjzqjqy_rfv60rpfe1layw">
        <w:r>
          <w:rPr>
            <w:color w:val="1155CC"/>
            <w:u w:val="single"/>
          </w:rPr>
          <w:t xml:space="preserve">AWS Well-Architected — Cost Optimization Pillar</w:t>
        </w:r>
      </w:hyperlink>
    </w:p>
    <w:p>
      <w:pPr>
        <w:pStyle w:val="ListParagraph"/>
        <w:numPr>
          <w:ilvl w:val="0"/>
          <w:numId w:val="2"/>
        </w:numPr>
        <w:spacing w:after="60"/>
      </w:pPr>
      <w:hyperlink w:history="1" r:id="rIduxkfywwvwtgeny_81ouwr">
        <w:r>
          <w:rPr>
            <w:color w:val="1155CC"/>
            <w:u w:val="single"/>
          </w:rPr>
          <w:t xml:space="preserve">AWS Certified Cloud Practitioner CLF-C02</w:t>
        </w:r>
      </w:hyperlink>
    </w:p>
    <w:p>
      <w:pPr>
        <w:pStyle w:val="ListParagraph"/>
        <w:numPr>
          <w:ilvl w:val="0"/>
          <w:numId w:val="2"/>
        </w:numPr>
        <w:spacing w:after="60"/>
      </w:pPr>
      <w:hyperlink w:history="1" r:id="rIdyzjzgbldtda2-d6hnsbh5">
        <w:r>
          <w:rPr>
            <w:color w:val="1155CC"/>
            <w:u w:val="single"/>
          </w:rPr>
          <w:t xml:space="preserve">Servicios incluidos en el alcance de CLF-C02</w:t>
        </w:r>
      </w:hyperlink>
    </w:p>
    <w:p>
      <w:pPr>
        <w:pStyle w:val="ListParagraph"/>
        <w:numPr>
          <w:ilvl w:val="0"/>
          <w:numId w:val="2"/>
        </w:numPr>
        <w:spacing w:after="60"/>
      </w:pPr>
      <w:hyperlink w:history="1" r:id="rId-41cvjkf3d602q00jkamp">
        <w:r>
          <w:rPr>
            <w:color w:val="1155CC"/>
            <w:u w:val="single"/>
          </w:rPr>
          <w:t xml:space="preserve">AWS Pricing Calculator</w:t>
        </w:r>
      </w:hyperlink>
    </w:p>
    <w:p>
      <w:pPr>
        <w:pStyle w:val="ListParagraph"/>
        <w:numPr>
          <w:ilvl w:val="0"/>
          <w:numId w:val="2"/>
        </w:numPr>
        <w:spacing w:after="60"/>
      </w:pPr>
      <w:hyperlink w:history="1" r:id="rIdalgqywfcyithea2uv4ay6">
        <w:r>
          <w:rPr>
            <w:color w:val="1155CC"/>
            <w:u w:val="single"/>
          </w:rPr>
          <w:t xml:space="preserve">Floci — inicio con CLI, Docker y Docker Compose</w:t>
        </w:r>
      </w:hyperlink>
    </w:p>
    <w:p>
      <w:pPr>
        <w:spacing w:after="80"/>
      </w:pPr>
      <w:r>
        <w:t xml:space="preserve"/>
      </w:r>
    </w:p>
    <w:p>
      <w:pPr>
        <w:spacing w:after="120"/>
      </w:pPr>
      <w:r>
        <w:rPr>
          <w:b/>
          <w:bCs/>
        </w:rPr>
        <w:t xml:space="preserve">Documentos internos del repositorio: </w:t>
      </w:r>
      <w:r>
        <w:t xml:space="preserve">README.md, PLAN_MVP_NEXORA.md, docs/ROADMAP_PRODUCTO_AWS.md, docs/AWS_LAB_DEPLOYMENT.md y docs/adr/0001–0003.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A94A2"/>
        <w:sz w:val="16"/>
        <w:szCs w:val="16"/>
      </w:rPr>
      <w:t xml:space="preserve">Guía del mentor  ·  página </w:t>
    </w:r>
    <w:r>
      <w:rPr>
        <w:color w:val="8A94A2"/>
        <w:sz w:val="16"/>
        <w:szCs w:val="16"/>
      </w:rPr>
      <w:fldChar w:fldCharType="begin"/>
      <w:instrText xml:space="preserve">PAGE</w:instrText>
      <w:fldChar w:fldCharType="separate"/>
      <w:fldChar w:fldCharType="end"/>
    </w:r>
    <w:r>
      <w:rPr>
        <w:color w:val="8A94A2"/>
        <w:sz w:val="16"/>
        <w:szCs w:val="16"/>
      </w:rPr>
      <w:t xml:space="preserve"> de </w:t>
    </w:r>
    <w:r>
      <w:rPr>
        <w:color w:val="8A94A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5" w:sz="4" w:space="6"/>
      </w:pBdr>
      <w:spacing w:after="0"/>
      <w:jc w:val="right"/>
    </w:pPr>
    <w:r>
      <w:rPr>
        <w:color w:val="8A94A2"/>
        <w:sz w:val="16"/>
        <w:szCs w:val="16"/>
      </w:rPr>
      <w:t xml:space="preserve">Nexora · Clase 1 · Fundamentos de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4"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5"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6"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7"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8"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9"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10"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11"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12"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13"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14"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15"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16"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17"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18"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19"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20"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21"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22"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23"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24"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25"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26"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27"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28"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29"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30"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31"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32"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33"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34"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35"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36"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37"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38"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39"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40"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41"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42"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43"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44"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45"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46"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47"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48"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49"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50"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51"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52"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53"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54"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55"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56"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57"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58"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59"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60"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61"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62"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63"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64"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65"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66"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67"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68"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69"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70"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71"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72"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73"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74"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75"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76"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77"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78"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79"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80"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81"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82"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83"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84"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85"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86"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87"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88"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89"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90"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91"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abstractNum w:abstractNumId="92" w15:restartNumberingAfterBreak="0">
    <w:multiLevelType w:val="hybridMultilevel"/>
    <w:lvl w:ilvl="0" w15:tentative="1">
      <w:start w:val="1"/>
      <w:numFmt w:val="decimal"/>
      <w:lvlText w:val="%1."/>
      <w:lvlJc w:val="left"/>
      <w:pPr>
        <w:ind w:left="470" w:hanging="340"/>
      </w:pPr>
    </w:lvl>
    <w:lvl w:ilvl="1" w15:tentative="1">
      <w:start w:val="1"/>
      <w:numFmt w:val="lowerLetter"/>
      <w:lvlText w:val="%2."/>
      <w:lvlJc w:val="left"/>
      <w:pPr>
        <w:ind w:left="9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D9DEE5" w:sz="6" w:space="6"/>
      </w:pBdr>
      <w:spacing w:after="140" w:before="360"/>
    </w:pPr>
    <w:rPr>
      <w:rFonts w:ascii="Calibri Light" w:cs="Calibri Light" w:eastAsia="Calibri Light" w:hAnsi="Calibri Light"/>
      <w:b/>
      <w:bCs/>
      <w:color w:val="1F3864"/>
      <w:sz w:val="32"/>
      <w:szCs w:val="32"/>
    </w:rPr>
  </w:style>
  <w:style w:type="paragraph" w:styleId="Heading2">
    <w:name w:val="Heading 2"/>
    <w:basedOn w:val="Normal"/>
    <w:next w:val="Normal"/>
    <w:qFormat/>
    <w:pPr>
      <w:keepNext/>
      <w:spacing w:after="100" w:before="260"/>
    </w:pPr>
    <w:rPr>
      <w:rFonts w:ascii="Calibri Light" w:cs="Calibri Light" w:eastAsia="Calibri Light" w:hAnsi="Calibri Light"/>
      <w:b/>
      <w:bCs/>
      <w:color w:val="2A4A7F"/>
      <w:sz w:val="26"/>
      <w:szCs w:val="26"/>
    </w:rPr>
  </w:style>
  <w:style w:type="paragraph" w:styleId="Heading3">
    <w:name w:val="Heading 3"/>
    <w:basedOn w:val="Normal"/>
    <w:next w:val="Normal"/>
    <w:qFormat/>
    <w:pPr>
      <w:keepNext/>
      <w:spacing w:after="80" w:before="200"/>
    </w:pPr>
    <w:rPr>
      <w:rFonts w:ascii="Calibri" w:cs="Calibri" w:eastAsia="Calibri" w:hAnsi="Calibri"/>
      <w:b/>
      <w:bCs/>
      <w:color w:val="33415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Big">
    <w:name w:val="TitleBig"/>
    <w:basedOn w:val="Normal"/>
    <w:next w:val="Normal"/>
    <w:pPr>
      <w:spacing w:after="60"/>
    </w:pPr>
    <w:rPr>
      <w:rFonts w:ascii="Calibri Light" w:cs="Calibri Light" w:eastAsia="Calibri Light" w:hAnsi="Calibri Light"/>
      <w:b/>
      <w:bCs/>
      <w:color w:val="1F3864"/>
      <w:sz w:val="68"/>
      <w:szCs w:val="68"/>
    </w:rPr>
  </w:style>
  <w:style w:type="paragraph" w:styleId="TitleSub">
    <w:name w:val="TitleSub"/>
    <w:basedOn w:val="Normal"/>
    <w:next w:val="Normal"/>
    <w:pPr>
      <w:spacing w:after="200"/>
    </w:pPr>
    <w:rPr>
      <w:rFonts w:ascii="Calibri Light" w:cs="Calibri Light" w:eastAsia="Calibri Light" w:hAnsi="Calibri Light"/>
      <w:color w:val="2A4A7F"/>
      <w:sz w:val="30"/>
      <w:szCs w:val="30"/>
    </w:rPr>
  </w:style>
  <w:style w:type="paragraph" w:styleId="Lead">
    <w:name w:val="Lead"/>
    <w:basedOn w:val="Normal"/>
    <w:next w:val="Normal"/>
    <w:pPr>
      <w:spacing w:after="160"/>
    </w:pPr>
    <w:rPr>
      <w:i/>
      <w:iCs/>
      <w:color w:val="5B6470"/>
      <w:sz w:val="23"/>
      <w:szCs w:val="23"/>
    </w:rPr>
  </w:style>
  <w:style w:type="paragraph" w:styleId="Code">
    <w:name w:val="Code"/>
    <w:basedOn w:val="Normal"/>
    <w:next w:val="Normal"/>
    <w:pPr>
      <w:spacing w:after="0" w:before="0" w:line="260"/>
    </w:pPr>
    <w:rPr>
      <w:rFonts w:ascii="Consolas" w:cs="Consolas" w:eastAsia="Consolas" w:hAnsi="Consolas"/>
      <w:color w:val="1F2937"/>
      <w:sz w:val="17"/>
      <w:szCs w:val="17"/>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bfqp-tjzh8futpaob4b" Type="http://schemas.openxmlformats.org/officeDocument/2006/relationships/hyperlink" Target="https://docs.aws.amazon.com/wellarchitected/latest/framework/the-pillars-of-the-framework.html" TargetMode="External"/><Relationship Id="rIdbjr6gvgdfo_jqnlafhlzb" Type="http://schemas.openxmlformats.org/officeDocument/2006/relationships/hyperlink" Target="https://docs.aws.amazon.com/wellarchitected/latest/saas-lens/saas-lens.html" TargetMode="External"/><Relationship Id="rIdjzqjqy_rfv60rpfe1layw" Type="http://schemas.openxmlformats.org/officeDocument/2006/relationships/hyperlink" Target="https://docs.aws.amazon.com/wellarchitected/latest/cost-optimization-pillar/welcome.html" TargetMode="External"/><Relationship Id="rIduxkfywwvwtgeny_81ouwr" Type="http://schemas.openxmlformats.org/officeDocument/2006/relationships/hyperlink" Target="https://docs.aws.amazon.com/aws-certification/latest/cloud-practitioner-02/cloud-practitioner-02.html" TargetMode="External"/><Relationship Id="rIdyzjzgbldtda2-d6hnsbh5" Type="http://schemas.openxmlformats.org/officeDocument/2006/relationships/hyperlink" Target="https://docs.aws.amazon.com/aws-certification/latest/cloud-practitioner-02/clf-02-in-scope-services.html" TargetMode="External"/><Relationship Id="rId-41cvjkf3d602q00jkamp" Type="http://schemas.openxmlformats.org/officeDocument/2006/relationships/hyperlink" Target="https://calculator.aws/" TargetMode="External"/><Relationship Id="rIdalgqywfcyithea2uv4ay6" Type="http://schemas.openxmlformats.org/officeDocument/2006/relationships/hyperlink" Target="https://floci.io/aw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 Clase 1: Nexora de extremo a extremo y fundamentos de AWS</dc:title>
  <dc:creator>Mentoría Nexora</dc:creator>
  <dc:description>Guía del mentor para la primera clase con la mentee de AWS. Preparación práctica y teórica para CLF-C02.</dc:description>
  <cp:lastModifiedBy>Un-named</cp:lastModifiedBy>
  <cp:revision>1</cp:revision>
  <dcterms:created xsi:type="dcterms:W3CDTF">2026-08-28T22:28:22.255Z</dcterms:created>
  <dcterms:modified xsi:type="dcterms:W3CDTF">2026-08-28T22:28:22.257Z</dcterms:modified>
</cp:coreProperties>
</file>

<file path=docProps/custom.xml><?xml version="1.0" encoding="utf-8"?>
<Properties xmlns="http://schemas.openxmlformats.org/officeDocument/2006/custom-properties" xmlns:vt="http://schemas.openxmlformats.org/officeDocument/2006/docPropsVTypes"/>
</file>