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extrategia consulting – Guía de Marca</w:t>
      </w:r>
    </w:p>
    <w:p>
      <w:r>
        <w:t>En extrategia consulting transformamos estructura en impacto. La ‘x’ expresa el cruce entre estrategia y ejecución responsable. Nuestra identidad es minimalista, moderna y orientada a resultados.</w:t>
      </w:r>
    </w:p>
    <w:p>
      <w:pPr>
        <w:pStyle w:val="Heading1"/>
      </w:pPr>
      <w:r>
        <w:t>Paleta de colores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Verde petróleo</w:t>
            </w:r>
          </w:p>
        </w:tc>
        <w:tc>
          <w:tcPr>
            <w:tcW w:type="dxa" w:w="2880"/>
          </w:tcPr>
          <w:p>
            <w:r>
              <w:t>#0F8F72</w:t>
            </w:r>
          </w:p>
        </w:tc>
        <w:tc>
          <w:tcPr>
            <w:tcW w:type="dxa" w:w="2880"/>
          </w:tcPr>
          <w:p>
            <w:r>
              <w:t>Crecimiento responsable</w:t>
            </w:r>
          </w:p>
        </w:tc>
      </w:tr>
      <w:tr>
        <w:tc>
          <w:tcPr>
            <w:tcW w:type="dxa" w:w="2880"/>
          </w:tcPr>
          <w:p>
            <w:r>
              <w:t>Azul profundo</w:t>
            </w:r>
          </w:p>
        </w:tc>
        <w:tc>
          <w:tcPr>
            <w:tcW w:type="dxa" w:w="2880"/>
          </w:tcPr>
          <w:p>
            <w:r>
              <w:t>#102A43</w:t>
            </w:r>
          </w:p>
        </w:tc>
        <w:tc>
          <w:tcPr>
            <w:tcW w:type="dxa" w:w="2880"/>
          </w:tcPr>
          <w:p>
            <w:r>
              <w:t>Confianza y dirección</w:t>
            </w:r>
          </w:p>
        </w:tc>
      </w:tr>
      <w:tr>
        <w:tc>
          <w:tcPr>
            <w:tcW w:type="dxa" w:w="2880"/>
          </w:tcPr>
          <w:p>
            <w:r>
              <w:t>Gris titanio</w:t>
            </w:r>
          </w:p>
        </w:tc>
        <w:tc>
          <w:tcPr>
            <w:tcW w:type="dxa" w:w="2880"/>
          </w:tcPr>
          <w:p>
            <w:r>
              <w:t>#4B5563</w:t>
            </w:r>
          </w:p>
        </w:tc>
        <w:tc>
          <w:tcPr>
            <w:tcW w:type="dxa" w:w="2880"/>
          </w:tcPr>
          <w:p>
            <w:r>
              <w:t>Profesionalismo</w:t>
            </w:r>
          </w:p>
        </w:tc>
      </w:tr>
      <w:tr>
        <w:tc>
          <w:tcPr>
            <w:tcW w:type="dxa" w:w="2880"/>
          </w:tcPr>
          <w:p>
            <w:r>
              <w:t>Blanco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Claridad</w:t>
            </w:r>
          </w:p>
        </w:tc>
      </w:tr>
    </w:tbl>
    <w:p>
      <w:pPr>
        <w:pStyle w:val="Heading1"/>
      </w:pPr>
      <w:r>
        <w:t>Tipografía</w:t>
      </w:r>
    </w:p>
    <w:p>
      <w:r>
        <w:t>Titulares: Poppins / Montserrat (SemiBold)</w:t>
        <w:br/>
        <w:t>Texto: Lato / Open Sans (Regular)</w:t>
      </w:r>
    </w:p>
    <w:p>
      <w:pPr>
        <w:pStyle w:val="Heading1"/>
      </w:pPr>
      <w:r>
        <w:t>Usos del logo</w:t>
      </w:r>
    </w:p>
    <w:p>
      <w:r>
        <w:t>• Usar la ‘x’ en verde sobre fondos claros y en blanco sobre fondos oscuros.</w:t>
        <w:br/>
        <w:t>• Evitar sombras, degradados o efectos 3D.</w:t>
        <w:br/>
        <w:t>• Mantener márgenes de seguridad equivalentes al grosor del trazo de la ‘x’.</w:t>
      </w:r>
    </w:p>
    <w:p>
      <w:pPr>
        <w:pStyle w:val="Heading1"/>
      </w:pPr>
      <w:r>
        <w:t>Previsualizaciones</w:t>
      </w:r>
    </w:p>
    <w:p>
      <w:r>
        <w:drawing>
          <wp:inline xmlns:a="http://schemas.openxmlformats.org/drawingml/2006/main" xmlns:pic="http://schemas.openxmlformats.org/drawingml/2006/picture">
            <wp:extent cx="54864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tegia_consulting_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avatar_1080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avatar_1080_g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avatar_1080_nav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