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28694F"/>
          <w:sz w:val="16"/>
        </w:rPr>
        <w:t>DESENVOLVIMENTO DE SOFTWARE EM NUVEM</w:t>
      </w:r>
    </w:p>
    <w:p>
      <w:pPr>
        <w:pStyle w:val="Title"/>
        <w:spacing w:after="140"/>
      </w:pPr>
      <w:r>
        <w:rPr>
          <w:rFonts w:ascii="Arial" w:hAnsi="Arial"/>
          <w:b/>
          <w:color w:val="000000"/>
          <w:sz w:val="46"/>
        </w:rPr>
        <w:t>Relatório técnico NuvemTask</w:t>
      </w:r>
    </w:p>
    <w:p>
      <w:pPr>
        <w:spacing w:after="40"/>
      </w:pPr>
      <w:r>
        <w:rPr>
          <w:rFonts w:ascii="Arial" w:hAnsi="Arial"/>
          <w:b/>
          <w:color w:val="202722"/>
          <w:sz w:val="18"/>
        </w:rPr>
        <w:t>ADS / IA (EAD) · Unifor</w:t>
      </w:r>
    </w:p>
    <w:p>
      <w:pPr>
        <w:spacing w:after="160"/>
      </w:pPr>
      <w:r>
        <w:rPr>
          <w:rFonts w:ascii="Arial" w:hAnsi="Arial"/>
          <w:b w:val="0"/>
          <w:color w:val="5D685F"/>
          <w:sz w:val="17"/>
        </w:rPr>
        <w:t>Integrante: [preencher nome]    |    Setembro de 2026</w:t>
      </w:r>
    </w:p>
    <w:p>
      <w:pPr>
        <w:spacing w:after="100" w:line="264" w:lineRule="auto"/>
      </w:pPr>
      <w:r>
        <w:rPr>
          <w:rFonts w:ascii="Arial" w:hAnsi="Arial"/>
          <w:b w:val="0"/>
          <w:color w:val="5D685F"/>
          <w:sz w:val="18"/>
        </w:rPr>
        <w:t>O NuvemTask organiza projetos e tarefas com autenticação, autorização por perfil e persistência em PostgreSQL gerenciado. Este relatório apresenta a arquitetura, as tecnologias, a estratégia de CI/CD e as contribuições do desenvolvimento individual. O repositório contém a configuração de nuvem; o provisionamento público será concluído após a publicação do código e a conexão da conta Render.</w:t>
      </w:r>
    </w:p>
    <w:p>
      <w:pPr>
        <w:pStyle w:val="Heading1"/>
        <w:keepNext/>
        <w:spacing w:before="180" w:after="80"/>
      </w:pPr>
      <w:r>
        <w:rPr>
          <w:rFonts w:ascii="Arial" w:hAnsi="Arial"/>
          <w:b/>
          <w:color w:val="000000"/>
          <w:sz w:val="26"/>
        </w:rPr>
        <w:t>1. Visão geral do sistema</w:t>
      </w:r>
    </w:p>
    <w:p>
      <w:pPr>
        <w:spacing w:after="100" w:line="264" w:lineRule="auto"/>
      </w:pPr>
      <w:r>
        <w:rPr>
          <w:rFonts w:ascii="Arial" w:hAnsi="Arial"/>
          <w:b w:val="0"/>
          <w:color w:val="5D685F"/>
          <w:sz w:val="18"/>
        </w:rPr>
        <w:t>A aplicação permite registrar usuários, criar projetos privados e manter tarefas com descrição, prazo e status (pendente, em andamento ou concluída). A pessoa usuária administra seus próprios registros; o perfil admin pode consultar todos os projetos e usuários. O sistema separa a interface web da API e do banco para facilitar manutenção e crescimento independente das camadas.</w:t>
      </w:r>
    </w:p>
    <w:p>
      <w:pPr>
        <w:pStyle w:val="Heading1"/>
        <w:keepNext/>
        <w:spacing w:before="180" w:after="80"/>
      </w:pPr>
      <w:r>
        <w:rPr>
          <w:rFonts w:ascii="Arial" w:hAnsi="Arial"/>
          <w:b/>
          <w:color w:val="000000"/>
          <w:sz w:val="26"/>
        </w:rPr>
        <w:t>2. Arquitetura em nuvem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45352" cy="1763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5352" cy="176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color w:val="5D685F"/>
          <w:sz w:val="16"/>
        </w:rPr>
        <w:t>Figura 1 — Componentes e fluxo de implantação do NuvemTask.</w:t>
      </w:r>
    </w:p>
    <w:p>
      <w:pPr>
        <w:spacing w:after="100" w:line="264" w:lineRule="auto"/>
      </w:pPr>
      <w:r>
        <w:rPr>
          <w:rFonts w:ascii="Arial" w:hAnsi="Arial"/>
          <w:b w:val="0"/>
          <w:color w:val="5D685F"/>
          <w:sz w:val="18"/>
        </w:rPr>
        <w:t>O React chama a API FastAPI por HTTPS, usando JSON e bearer token JWT. A API acessa o PostgreSQL por SQLAlchemy e psycopg; os dados permanecem fora do container. O serviço é stateless e pode ser replicado sem migrar sessões ou arquivos. O blueprint define uma instância inicial, e a capacidade de escala depende do plano do provedor.</w:t>
      </w:r>
    </w:p>
    <w:p>
      <w:pPr>
        <w:spacing w:after="100" w:line="264" w:lineRule="auto"/>
      </w:pPr>
      <w:r>
        <w:rPr>
          <w:rFonts w:ascii="Arial" w:hAnsi="Arial"/>
          <w:b w:val="0"/>
          <w:color w:val="5D685F"/>
          <w:sz w:val="18"/>
        </w:rPr>
        <w:t>O modelo de dados possui três entidades relacionadas: um usuário tem vários projetos e cada projeto tem várias tarefas. A API verifica o proprietário antes de permitir acesso ao projeto e às tarefas; a exceção de consulta ampliada é o perfil admin.</w:t>
      </w:r>
    </w:p>
    <w:p>
      <w:pPr>
        <w:pStyle w:val="Heading1"/>
        <w:keepNext/>
        <w:spacing w:before="180" w:after="80"/>
      </w:pPr>
      <w:r>
        <w:rPr>
          <w:rFonts w:ascii="Arial" w:hAnsi="Arial"/>
          <w:b/>
          <w:color w:val="000000"/>
          <w:sz w:val="26"/>
        </w:rPr>
        <w:t>3. Tecnologias 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84"/>
            <w:vAlign w:val="center"/>
            <w:shd w:fill="28694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2477"/>
            <w:vAlign w:val="center"/>
            <w:shd w:fill="28694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5731"/>
            <w:vAlign w:val="center"/>
            <w:shd w:fill="28694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1584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Front-end</w:t>
            </w:r>
          </w:p>
        </w:tc>
        <w:tc>
          <w:tcPr>
            <w:tcW w:type="dxa" w:w="2477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React 19 + Vite</w:t>
            </w:r>
          </w:p>
        </w:tc>
        <w:tc>
          <w:tcPr>
            <w:tcW w:type="dxa" w:w="5731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Login, painel responsivo e operações CRUD.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Back-end</w:t>
            </w:r>
          </w:p>
        </w:tc>
        <w:tc>
          <w:tcPr>
            <w:tcW w:type="dxa" w:w="247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FastAPI + SQLAlchemy 2</w:t>
            </w:r>
          </w:p>
        </w:tc>
        <w:tc>
          <w:tcPr>
            <w:tcW w:type="dxa" w:w="573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API REST, validação, autorização e OpenAPI.</w:t>
            </w:r>
          </w:p>
        </w:tc>
      </w:tr>
      <w:tr>
        <w:tc>
          <w:tcPr>
            <w:tcW w:type="dxa" w:w="1584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Autenticação</w:t>
            </w:r>
          </w:p>
        </w:tc>
        <w:tc>
          <w:tcPr>
            <w:tcW w:type="dxa" w:w="2477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JWT HS256 + scrypt</w:t>
            </w:r>
          </w:p>
        </w:tc>
        <w:tc>
          <w:tcPr>
            <w:tcW w:type="dxa" w:w="5731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Token com validade de 60 min; senha derivada com salt.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Banco</w:t>
            </w:r>
          </w:p>
        </w:tc>
        <w:tc>
          <w:tcPr>
            <w:tcW w:type="dxa" w:w="247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PostgreSQL gerenciado</w:t>
            </w:r>
          </w:p>
        </w:tc>
        <w:tc>
          <w:tcPr>
            <w:tcW w:type="dxa" w:w="573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Persistência independente do container da API.</w:t>
            </w:r>
          </w:p>
        </w:tc>
      </w:tr>
      <w:tr>
        <w:tc>
          <w:tcPr>
            <w:tcW w:type="dxa" w:w="1584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Container</w:t>
            </w:r>
          </w:p>
        </w:tc>
        <w:tc>
          <w:tcPr>
            <w:tcW w:type="dxa" w:w="2477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Docker</w:t>
            </w:r>
          </w:p>
        </w:tc>
        <w:tc>
          <w:tcPr>
            <w:tcW w:type="dxa" w:w="5731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Empacotamento e execução reproduzível do back-end.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CI/CD</w:t>
            </w:r>
          </w:p>
        </w:tc>
        <w:tc>
          <w:tcPr>
            <w:tcW w:type="dxa" w:w="247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GitHub Actions + Render</w:t>
            </w:r>
          </w:p>
        </w:tc>
        <w:tc>
          <w:tcPr>
            <w:tcW w:type="dxa" w:w="573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Testes, build e deploy após verificações aprovadas.</w:t>
            </w:r>
          </w:p>
        </w:tc>
      </w:tr>
      <w:tr>
        <w:tc>
          <w:tcPr>
            <w:tcW w:type="dxa" w:w="1584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Observabilidade</w:t>
            </w:r>
          </w:p>
        </w:tc>
        <w:tc>
          <w:tcPr>
            <w:tcW w:type="dxa" w:w="2477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Logs do Python</w:t>
            </w:r>
          </w:p>
        </w:tc>
        <w:tc>
          <w:tcPr>
            <w:tcW w:type="dxa" w:w="5731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Acessos, status, duração, ID e erros da requisição.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Arial" w:hAnsi="Arial"/>
          <w:b/>
          <w:color w:val="000000"/>
          <w:sz w:val="26"/>
        </w:rPr>
        <w:t>4. Segurança e qualidade</w:t>
      </w:r>
    </w:p>
    <w:p>
      <w:pPr>
        <w:spacing w:after="100" w:line="264" w:lineRule="auto"/>
      </w:pPr>
      <w:r>
        <w:rPr>
          <w:rFonts w:ascii="Arial" w:hAnsi="Arial"/>
          <w:b w:val="0"/>
          <w:color w:val="5D685F"/>
          <w:sz w:val="18"/>
        </w:rPr>
        <w:t>O papel não é aceito do formulário: a conta recebe `admin` somente se o e-mail corresponder a `ADMIN_EMAIL`; as demais contas são `user`. As rotas protegidas exigem token assinado com expiração. Senhas são armazenadas com scrypt e salt aleatório. O back-end valida formato e tamanho, restringe CORS às origens configuradas e responde com erro genérico em falhas internas, registrando detalhes no log.</w:t>
      </w:r>
    </w:p>
    <w:p>
      <w:pPr>
        <w:spacing w:after="100" w:line="264" w:lineRule="auto"/>
      </w:pPr>
      <w:r>
        <w:rPr>
          <w:rFonts w:ascii="Arial" w:hAnsi="Arial"/>
          <w:b w:val="0"/>
          <w:color w:val="5D685F"/>
          <w:sz w:val="18"/>
        </w:rPr>
        <w:t>O OpenAPI é gerado pela API e fica disponível em `/docs`. Os testes automatizados cobrem cadastro, login, perfil, CRUD de projetos e tarefas, validação, privacidade entre contas e autorização admin. Um teste de interface verifica a troca para o fluxo de cadastro; o workflow também gera o build de produção do React.</w:t>
      </w:r>
    </w:p>
    <w:p>
      <w:pPr>
        <w:pStyle w:val="Heading1"/>
        <w:keepNext/>
        <w:spacing w:before="180" w:after="80"/>
      </w:pPr>
      <w:r>
        <w:rPr>
          <w:rFonts w:ascii="Arial" w:hAnsi="Arial"/>
          <w:b/>
          <w:color w:val="000000"/>
          <w:sz w:val="26"/>
        </w:rPr>
        <w:t>5. Implantação e CI/CD</w:t>
      </w:r>
    </w:p>
    <w:p>
      <w:pPr>
        <w:spacing w:after="100" w:line="264" w:lineRule="auto"/>
      </w:pPr>
      <w:r>
        <w:rPr>
          <w:rFonts w:ascii="Arial" w:hAnsi="Arial"/>
          <w:b w:val="0"/>
          <w:color w:val="5D685F"/>
          <w:sz w:val="18"/>
        </w:rPr>
        <w:t>O arquivo `render.yaml` descreve três recursos: serviço web Docker para a API, site estático para o front-end e PostgreSQL gerenciado. O provedor fornece a conexão do banco e gera o segredo JWT; `ADMIN_EMAIL` é configurado na criação. O front-end recebe `VITE_API_URL` no build e a origem do site é permitida pela variável CORS da API.</w:t>
      </w:r>
    </w:p>
    <w:p>
      <w:pPr>
        <w:spacing w:after="100" w:line="264" w:lineRule="auto"/>
      </w:pPr>
      <w:r>
        <w:rPr>
          <w:rFonts w:ascii="Arial" w:hAnsi="Arial"/>
          <w:b w:val="0"/>
          <w:color w:val="5D685F"/>
          <w:sz w:val="18"/>
        </w:rPr>
        <w:t>O workflow `.github/workflows/ci.yml` roda em pull requests e pushes para `main` ou `master`: instala dependências, executa testes de API, executa o teste de interface e compila o front-end. Com GitHub e Render conectados, `autoDeployTrigger: checksPass` libera os serviços para deploy após as verificações passarem. A URL pública e a evidência de deploy serão incluídas depois da publicação do repositório.</w:t>
      </w:r>
    </w:p>
    <w:p>
      <w:pPr>
        <w:pStyle w:val="Heading1"/>
        <w:keepNext/>
        <w:spacing w:before="180" w:after="80"/>
      </w:pPr>
      <w:r>
        <w:rPr>
          <w:rFonts w:ascii="Arial" w:hAnsi="Arial"/>
          <w:b/>
          <w:color w:val="000000"/>
          <w:sz w:val="26"/>
        </w:rPr>
        <w:t>6. Papéis e contribuições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024"/>
            <w:vAlign w:val="center"/>
            <w:shd w:fill="28694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Papel previsto na proposta</w:t>
            </w:r>
          </w:p>
        </w:tc>
        <w:tc>
          <w:tcPr>
            <w:tcW w:type="dxa" w:w="6768"/>
            <w:vAlign w:val="center"/>
            <w:shd w:fill="28694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Contribuição do integrante único</w:t>
            </w:r>
          </w:p>
        </w:tc>
      </w:tr>
      <w:tr>
        <w:tc>
          <w:tcPr>
            <w:tcW w:type="dxa" w:w="3024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Arquiteto(a) de nuvem</w:t>
            </w:r>
          </w:p>
        </w:tc>
        <w:tc>
          <w:tcPr>
            <w:tcW w:type="dxa" w:w="6768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Camadas, modelo de dados e configuração do provedor.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Desenvolvedor(a) back-end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Autenticação, API, regras, validação e logs.</w:t>
            </w:r>
          </w:p>
        </w:tc>
      </w:tr>
      <w:tr>
        <w:tc>
          <w:tcPr>
            <w:tcW w:type="dxa" w:w="3024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Desenvolvedor(a) front-end</w:t>
            </w:r>
          </w:p>
        </w:tc>
        <w:tc>
          <w:tcPr>
            <w:tcW w:type="dxa" w:w="6768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Painel React, formulários e integração com a API.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Engenheiro(a) DevOps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Docker, Compose, CI e blueprint de deploy.</w:t>
            </w:r>
          </w:p>
        </w:tc>
      </w:tr>
      <w:tr>
        <w:tc>
          <w:tcPr>
            <w:tcW w:type="dxa" w:w="3024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Qualidade e documentação</w:t>
            </w:r>
          </w:p>
        </w:tc>
        <w:tc>
          <w:tcPr>
            <w:tcW w:type="dxa" w:w="6768"/>
            <w:vAlign w:val="center"/>
            <w:shd w:fill="F4F8F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202722"/>
                <w:sz w:val="16"/>
              </w:rPr>
              <w:t>Testes automatizados, README, relatório e vídeo.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Arial" w:hAnsi="Arial"/>
          <w:b/>
          <w:color w:val="000000"/>
          <w:sz w:val="26"/>
        </w:rPr>
        <w:t>7. Dificuldades e soluções</w:t>
      </w:r>
    </w:p>
    <w:p>
      <w:pPr>
        <w:spacing w:after="100" w:line="264" w:lineRule="auto"/>
      </w:pPr>
      <w:r>
        <w:rPr>
          <w:rFonts w:ascii="Arial" w:hAnsi="Arial"/>
          <w:b w:val="0"/>
          <w:color w:val="5D685F"/>
          <w:sz w:val="18"/>
        </w:rPr>
        <w:t>A proposta prevê equipes de quatro a seis integrantes; esta entrega foi realizada por uma pessoa. Os papéis foram acumulados e registrados individualmente, sem atribuir contribuições a outras pessoas. Para evitar dependência do disco efêmero do container, a persistência foi direcionada a um PostgreSQL gerenciado. Segredos e endereços ficam em variáveis de ambiente; o blueprint automatiza sua ligação sem gravar credenciais no repositório.</w:t>
      </w:r>
    </w:p>
    <w:p>
      <w:pPr>
        <w:spacing w:before="40" w:after="0"/>
      </w:pPr>
      <w:r>
        <w:rPr>
          <w:rFonts w:ascii="Arial" w:hAnsi="Arial"/>
          <w:b w:val="0"/>
          <w:color w:val="5D685F"/>
          <w:sz w:val="15"/>
        </w:rPr>
        <w:t xml:space="preserve">Referência técnica: Render, Blueprint YAML Reference — </w:t>
      </w:r>
      <w:r>
        <w:rPr>
          <w:rFonts w:ascii="Arial" w:hAnsi="Arial"/>
          <w:b w:val="0"/>
          <w:color w:val="28694F"/>
          <w:sz w:val="15"/>
        </w:rPr>
        <w:t>https://render.com/docs/blueprint-spec</w:t>
      </w:r>
    </w:p>
    <w:sectPr w:rsidR="00FC693F" w:rsidRPr="0006063C" w:rsidSect="00034616"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7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