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1913F">
      <w:pPr>
        <w:spacing w:before="0" w:after="360" w:line="360" w:lineRule="auto"/>
      </w:pPr>
    </w:p>
    <w:p w14:paraId="318DC4A0">
      <w:pPr>
        <w:spacing w:before="0" w:after="720" w:line="360" w:lineRule="auto"/>
        <w:jc w:val="center"/>
      </w:pPr>
      <w:r>
        <w:drawing>
          <wp:inline distT="0" distB="0" distL="114300" distR="114300">
            <wp:extent cx="4463415" cy="91059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464000" cy="910949"/>
                    </a:xfrm>
                    <a:prstGeom prst="rect">
                      <a:avLst/>
                    </a:prstGeom>
                  </pic:spPr>
                </pic:pic>
              </a:graphicData>
            </a:graphic>
          </wp:inline>
        </w:drawing>
      </w:r>
    </w:p>
    <w:p w14:paraId="627C53C6">
      <w:pPr>
        <w:spacing w:before="0" w:after="80" w:line="288" w:lineRule="auto"/>
        <w:jc w:val="center"/>
      </w:pPr>
      <w:r>
        <w:rPr>
          <w:rFonts w:ascii="黑体" w:hAnsi="黑体" w:eastAsia="黑体"/>
          <w:b/>
          <w:sz w:val="46"/>
        </w:rPr>
        <w:t>《光电信息科学与工程专业导学 2》</w:t>
      </w:r>
    </w:p>
    <w:p w14:paraId="62E27F67">
      <w:pPr>
        <w:spacing w:before="0" w:after="960" w:line="288" w:lineRule="auto"/>
        <w:jc w:val="center"/>
      </w:pPr>
      <w:r>
        <w:rPr>
          <w:rFonts w:ascii="黑体" w:hAnsi="黑体" w:eastAsia="黑体"/>
          <w:b/>
          <w:sz w:val="48"/>
        </w:rPr>
        <w:t>课程报告</w:t>
      </w:r>
    </w:p>
    <w:tbl>
      <w:tblPr>
        <w:tblStyle w:val="32"/>
        <w:tblW w:w="0" w:type="auto"/>
        <w:jc w:val="center"/>
        <w:tblLayout w:type="autofit"/>
        <w:tblCellMar>
          <w:top w:w="0" w:type="dxa"/>
          <w:left w:w="108" w:type="dxa"/>
          <w:bottom w:w="0" w:type="dxa"/>
          <w:right w:w="108" w:type="dxa"/>
        </w:tblCellMar>
      </w:tblPr>
      <w:tblGrid>
        <w:gridCol w:w="4510"/>
        <w:gridCol w:w="4510"/>
      </w:tblGrid>
      <w:tr w14:paraId="2779BC53">
        <w:tblPrEx>
          <w:tblCellMar>
            <w:top w:w="0" w:type="dxa"/>
            <w:left w:w="108" w:type="dxa"/>
            <w:bottom w:w="0" w:type="dxa"/>
            <w:right w:w="108" w:type="dxa"/>
          </w:tblCellMar>
        </w:tblPrEx>
        <w:trPr>
          <w:trHeight w:val="755" w:hRule="atLeast"/>
          <w:jc w:val="center"/>
        </w:trPr>
        <w:tc>
          <w:tcPr>
            <w:tcW w:w="4510" w:type="dxa"/>
            <w:tcBorders>
              <w:top w:val="nil"/>
              <w:left w:val="nil"/>
              <w:bottom w:val="nil"/>
              <w:right w:val="nil"/>
              <w:insideH w:val="nil"/>
              <w:insideV w:val="nil"/>
            </w:tcBorders>
            <w:vAlign w:val="center"/>
          </w:tcPr>
          <w:p w14:paraId="456D68D0">
            <w:pPr>
              <w:jc w:val="right"/>
            </w:pPr>
            <w:r>
              <w:rPr>
                <w:rFonts w:ascii="黑体" w:hAnsi="黑体" w:eastAsia="黑体"/>
                <w:b/>
                <w:sz w:val="36"/>
              </w:rPr>
              <w:t>专题名称：</w:t>
            </w:r>
          </w:p>
        </w:tc>
        <w:tc>
          <w:tcPr>
            <w:tcW w:w="4510" w:type="dxa"/>
            <w:tcBorders>
              <w:top w:val="nil"/>
              <w:left w:val="nil"/>
              <w:bottom w:val="single" w:color="000000" w:sz="8" w:space="0"/>
              <w:right w:val="nil"/>
              <w:insideH w:val="nil"/>
              <w:insideV w:val="nil"/>
            </w:tcBorders>
            <w:vAlign w:val="center"/>
          </w:tcPr>
          <w:p w14:paraId="589C285E">
            <w:pPr>
              <w:jc w:val="center"/>
            </w:pPr>
            <w:r>
              <w:rPr>
                <w:rFonts w:ascii="宋体" w:hAnsi="宋体" w:eastAsia="宋体"/>
                <w:sz w:val="32"/>
              </w:rPr>
              <w:t>人工智能时代的机遇与挑战</w:t>
            </w:r>
          </w:p>
        </w:tc>
      </w:tr>
      <w:tr w14:paraId="3A2A9716">
        <w:tblPrEx>
          <w:tblCellMar>
            <w:top w:w="0" w:type="dxa"/>
            <w:left w:w="108" w:type="dxa"/>
            <w:bottom w:w="0" w:type="dxa"/>
            <w:right w:w="108" w:type="dxa"/>
          </w:tblCellMar>
        </w:tblPrEx>
        <w:trPr>
          <w:trHeight w:val="781" w:hRule="atLeast"/>
          <w:jc w:val="center"/>
        </w:trPr>
        <w:tc>
          <w:tcPr>
            <w:tcW w:w="4510" w:type="dxa"/>
            <w:tcBorders>
              <w:top w:val="nil"/>
              <w:left w:val="nil"/>
              <w:bottom w:val="nil"/>
              <w:right w:val="nil"/>
              <w:insideH w:val="nil"/>
              <w:insideV w:val="nil"/>
            </w:tcBorders>
            <w:vAlign w:val="center"/>
          </w:tcPr>
          <w:p w14:paraId="3B8B19E8">
            <w:pPr>
              <w:jc w:val="right"/>
            </w:pPr>
            <w:r>
              <w:rPr>
                <w:rFonts w:ascii="黑体" w:hAnsi="黑体" w:eastAsia="黑体"/>
                <w:b/>
                <w:sz w:val="36"/>
              </w:rPr>
              <w:t>专业班级：</w:t>
            </w:r>
          </w:p>
        </w:tc>
        <w:tc>
          <w:tcPr>
            <w:tcW w:w="4510" w:type="dxa"/>
            <w:tcBorders>
              <w:top w:val="nil"/>
              <w:left w:val="nil"/>
              <w:bottom w:val="single" w:color="000000" w:sz="8" w:space="0"/>
              <w:right w:val="nil"/>
              <w:insideH w:val="nil"/>
              <w:insideV w:val="nil"/>
            </w:tcBorders>
            <w:vAlign w:val="center"/>
          </w:tcPr>
          <w:p w14:paraId="33CE7322">
            <w:pPr>
              <w:jc w:val="center"/>
              <w:rPr>
                <w:color w:val="000000" w:themeColor="text1"/>
                <w14:textFill>
                  <w14:solidFill>
                    <w14:schemeClr w14:val="tx1"/>
                  </w14:solidFill>
                </w14:textFill>
              </w:rPr>
            </w:pPr>
            <w:r>
              <w:rPr>
                <w:rFonts w:ascii="宋体" w:hAnsi="宋体" w:eastAsia="宋体"/>
                <w:color w:val="000000" w:themeColor="text1"/>
                <w:sz w:val="34"/>
                <w14:textFill>
                  <w14:solidFill>
                    <w14:schemeClr w14:val="tx1"/>
                  </w14:solidFill>
                </w14:textFill>
              </w:rPr>
              <w:t>光电2503</w:t>
            </w:r>
          </w:p>
        </w:tc>
      </w:tr>
      <w:tr w14:paraId="242A76FE">
        <w:tblPrEx>
          <w:tblCellMar>
            <w:top w:w="0" w:type="dxa"/>
            <w:left w:w="108" w:type="dxa"/>
            <w:bottom w:w="0" w:type="dxa"/>
            <w:right w:w="108" w:type="dxa"/>
          </w:tblCellMar>
        </w:tblPrEx>
        <w:trPr>
          <w:trHeight w:val="781" w:hRule="atLeast"/>
          <w:jc w:val="center"/>
        </w:trPr>
        <w:tc>
          <w:tcPr>
            <w:tcW w:w="4510" w:type="dxa"/>
            <w:tcBorders>
              <w:top w:val="nil"/>
              <w:left w:val="nil"/>
              <w:bottom w:val="nil"/>
              <w:right w:val="nil"/>
              <w:insideH w:val="nil"/>
              <w:insideV w:val="nil"/>
            </w:tcBorders>
            <w:vAlign w:val="center"/>
          </w:tcPr>
          <w:p w14:paraId="46719800">
            <w:pPr>
              <w:jc w:val="right"/>
            </w:pPr>
            <w:r>
              <w:rPr>
                <w:rFonts w:ascii="黑体" w:hAnsi="黑体" w:eastAsia="黑体"/>
                <w:b/>
                <w:sz w:val="36"/>
              </w:rPr>
              <w:t>学    号：</w:t>
            </w:r>
          </w:p>
        </w:tc>
        <w:tc>
          <w:tcPr>
            <w:tcW w:w="4510" w:type="dxa"/>
            <w:tcBorders>
              <w:top w:val="nil"/>
              <w:left w:val="nil"/>
              <w:bottom w:val="single" w:color="000000" w:sz="8" w:space="0"/>
              <w:right w:val="nil"/>
              <w:insideH w:val="nil"/>
              <w:insideV w:val="nil"/>
            </w:tcBorders>
            <w:vAlign w:val="center"/>
          </w:tcPr>
          <w:p w14:paraId="5E86DAE0">
            <w:pPr>
              <w:jc w:val="center"/>
              <w:rPr>
                <w:color w:val="000000" w:themeColor="text1"/>
                <w14:textFill>
                  <w14:solidFill>
                    <w14:schemeClr w14:val="tx1"/>
                  </w14:solidFill>
                </w14:textFill>
              </w:rPr>
            </w:pPr>
            <w:r>
              <w:rPr>
                <w:rFonts w:ascii="宋体" w:hAnsi="宋体" w:eastAsia="宋体"/>
                <w:color w:val="000000" w:themeColor="text1"/>
                <w:sz w:val="34"/>
                <w14:textFill>
                  <w14:solidFill>
                    <w14:schemeClr w14:val="tx1"/>
                  </w14:solidFill>
                </w14:textFill>
              </w:rPr>
              <w:t>2500515090</w:t>
            </w:r>
          </w:p>
        </w:tc>
      </w:tr>
      <w:tr w14:paraId="7B8EFAE8">
        <w:tblPrEx>
          <w:tblCellMar>
            <w:top w:w="0" w:type="dxa"/>
            <w:left w:w="108" w:type="dxa"/>
            <w:bottom w:w="0" w:type="dxa"/>
            <w:right w:w="108" w:type="dxa"/>
          </w:tblCellMar>
        </w:tblPrEx>
        <w:trPr>
          <w:trHeight w:val="821" w:hRule="atLeast"/>
          <w:jc w:val="center"/>
        </w:trPr>
        <w:tc>
          <w:tcPr>
            <w:tcW w:w="4510" w:type="dxa"/>
            <w:tcBorders>
              <w:top w:val="nil"/>
              <w:left w:val="nil"/>
              <w:bottom w:val="nil"/>
              <w:right w:val="nil"/>
              <w:insideH w:val="nil"/>
              <w:insideV w:val="nil"/>
            </w:tcBorders>
            <w:vAlign w:val="center"/>
          </w:tcPr>
          <w:p w14:paraId="42C47F42">
            <w:pPr>
              <w:jc w:val="right"/>
            </w:pPr>
            <w:r>
              <w:rPr>
                <w:rFonts w:ascii="黑体" w:hAnsi="黑体" w:eastAsia="黑体"/>
                <w:b/>
                <w:sz w:val="36"/>
              </w:rPr>
              <w:t>姓    名：</w:t>
            </w:r>
          </w:p>
        </w:tc>
        <w:tc>
          <w:tcPr>
            <w:tcW w:w="4510" w:type="dxa"/>
            <w:tcBorders>
              <w:top w:val="nil"/>
              <w:left w:val="nil"/>
              <w:bottom w:val="single" w:color="000000" w:sz="8" w:space="0"/>
              <w:right w:val="nil"/>
              <w:insideH w:val="nil"/>
              <w:insideV w:val="nil"/>
            </w:tcBorders>
            <w:vAlign w:val="center"/>
          </w:tcPr>
          <w:p w14:paraId="2CE82A79">
            <w:pPr>
              <w:jc w:val="center"/>
              <w:rPr>
                <w:color w:val="000000" w:themeColor="text1"/>
                <w14:textFill>
                  <w14:solidFill>
                    <w14:schemeClr w14:val="tx1"/>
                  </w14:solidFill>
                </w14:textFill>
              </w:rPr>
            </w:pPr>
            <w:bookmarkStart w:id="0" w:name="OLE_LINK1"/>
            <w:r>
              <w:rPr>
                <w:rFonts w:ascii="宋体" w:hAnsi="宋体" w:eastAsia="宋体"/>
                <w:color w:val="000000" w:themeColor="text1"/>
                <w:sz w:val="34"/>
                <w14:textFill>
                  <w14:solidFill>
                    <w14:schemeClr w14:val="tx1"/>
                  </w14:solidFill>
                </w14:textFill>
              </w:rPr>
              <w:t>张子琦</w:t>
            </w:r>
            <w:bookmarkEnd w:id="0"/>
          </w:p>
        </w:tc>
      </w:tr>
    </w:tbl>
    <w:p w14:paraId="1945C6E6">
      <w:pPr>
        <w:spacing w:before="0" w:after="1640" w:line="360" w:lineRule="auto"/>
      </w:pPr>
    </w:p>
    <w:p w14:paraId="43A4BA19">
      <w:pPr>
        <w:spacing w:before="0" w:after="0" w:line="360" w:lineRule="auto"/>
        <w:jc w:val="center"/>
        <w:rPr>
          <w:color w:val="000000" w:themeColor="text1"/>
          <w14:textFill>
            <w14:solidFill>
              <w14:schemeClr w14:val="tx1"/>
            </w14:solidFill>
          </w14:textFill>
        </w:rPr>
      </w:pPr>
      <w:r>
        <w:rPr>
          <w:rFonts w:ascii="宋体" w:hAnsi="宋体" w:eastAsia="宋体"/>
          <w:color w:val="000000" w:themeColor="text1"/>
          <w:sz w:val="36"/>
          <w14:textFill>
            <w14:solidFill>
              <w14:schemeClr w14:val="tx1"/>
            </w14:solidFill>
          </w14:textFill>
        </w:rPr>
        <w:t>2026 年 5 月</w:t>
      </w:r>
    </w:p>
    <w:p w14:paraId="37502FA7">
      <w:pPr>
        <w:rPr>
          <w:color w:val="000000" w:themeColor="text1"/>
          <w14:textFill>
            <w14:solidFill>
              <w14:schemeClr w14:val="tx1"/>
            </w14:solidFill>
          </w14:textFill>
        </w:rPr>
        <w:sectPr>
          <w:pgSz w:w="11906" w:h="16838"/>
          <w:pgMar w:top="1247" w:right="1361" w:bottom="1134" w:left="1361" w:header="720" w:footer="720" w:gutter="0"/>
          <w:cols w:space="720" w:num="1"/>
          <w:docGrid w:linePitch="360" w:charSpace="0"/>
        </w:sectPr>
      </w:pPr>
    </w:p>
    <w:p w14:paraId="66C35DBB">
      <w:pPr>
        <w:spacing w:before="0" w:after="80" w:line="288" w:lineRule="auto"/>
        <w:jc w:val="center"/>
      </w:pPr>
      <w:r>
        <w:rPr>
          <w:rFonts w:ascii="黑体" w:hAnsi="黑体" w:eastAsia="黑体"/>
          <w:b/>
          <w:sz w:val="36"/>
        </w:rPr>
        <w:t>人工智能时代的机遇与挑战</w:t>
      </w:r>
    </w:p>
    <w:p w14:paraId="1B9ECD15">
      <w:pPr>
        <w:spacing w:before="0" w:after="240" w:line="288" w:lineRule="auto"/>
        <w:jc w:val="center"/>
      </w:pPr>
      <w:r>
        <w:rPr>
          <w:rFonts w:ascii="宋体" w:hAnsi="宋体" w:eastAsia="宋体"/>
          <w:sz w:val="24"/>
        </w:rPr>
        <w:t>——以 Gemini 与 Google 生态为中心</w:t>
      </w:r>
    </w:p>
    <w:p w14:paraId="74C0B5FC">
      <w:pPr>
        <w:pStyle w:val="3"/>
        <w:spacing w:before="240" w:after="120"/>
      </w:pPr>
      <w:r>
        <w:rPr>
          <w:rFonts w:ascii="黑体" w:hAnsi="黑体" w:eastAsia="黑体"/>
          <w:b/>
          <w:color w:val="000000"/>
          <w:sz w:val="30"/>
        </w:rPr>
        <w:t>一、引言</w:t>
      </w:r>
    </w:p>
    <w:p w14:paraId="2E2A883E">
      <w:pPr>
        <w:spacing w:after="120" w:line="360" w:lineRule="auto"/>
        <w:ind w:firstLine="420"/>
      </w:pPr>
      <w:r>
        <w:rPr>
          <w:rFonts w:ascii="宋体" w:hAnsi="宋体" w:eastAsia="宋体"/>
          <w:sz w:val="22"/>
        </w:rPr>
        <w:t>人工智能是指机器通过算法、数据和计算能力完成感知、学习、推理、生成和决策等任务的技术体系。它经历了早期符号主义、专家系统、机器学习、深度学习，再到近年大语言模型和多模态模型的发展。今天的 AI 已不只是实验室工具，而是进入浏览器、手机、办公软件、搜索引擎和行业系统的基础能力。Google 的 Gemini 正是这一趋势的代表：它既是模型，也是面向用户的助手，更是连接 Chrome、Search、Workspace、Android、YouTube、Maps 等产品的入口。因此，研究 Gemini 不只是研究一个聊天机器人，而是观察未来数字生活如何被 AI 重新组织。</w:t>
      </w:r>
    </w:p>
    <w:p w14:paraId="58352176">
      <w:pPr>
        <w:pStyle w:val="3"/>
        <w:spacing w:before="240" w:after="120"/>
      </w:pPr>
      <w:r>
        <w:rPr>
          <w:rFonts w:ascii="黑体" w:hAnsi="黑体" w:eastAsia="黑体"/>
          <w:b/>
          <w:color w:val="000000"/>
          <w:sz w:val="30"/>
        </w:rPr>
        <w:t>二、Gemini 与 Google 生态中的机遇</w:t>
      </w:r>
    </w:p>
    <w:p w14:paraId="39CF1168">
      <w:pPr>
        <w:spacing w:after="120" w:line="360" w:lineRule="auto"/>
        <w:ind w:firstLine="420"/>
      </w:pPr>
      <w:r>
        <w:rPr>
          <w:rFonts w:ascii="宋体" w:hAnsi="宋体" w:eastAsia="宋体"/>
          <w:sz w:val="22"/>
        </w:rPr>
        <w:t>第一，Gemini 正在把浏览器从“信息入口”变成“任务入口”。Google 在 Chrome 中提供 Gemini in Chrome，用户可以在网页、视频和多个标签页中提问、总结、比较信息，并在部分地区和订阅计划中尝试自动浏览、购物或预订等任务。传统浏览器主要负责打开网页，AI 浏览器则可能理解网页内容、拆解用户意图并辅助行动。对学生来说，它能把复杂资料压缩成提纲，生成复习卡片；对消费者来说，它能比较商品、解释条款、提醒风险；对办公人员来说，它能减少重复检索和整理时间。</w:t>
      </w:r>
    </w:p>
    <w:p w14:paraId="6732954F">
      <w:pPr>
        <w:spacing w:after="120" w:line="360" w:lineRule="auto"/>
        <w:ind w:firstLine="420"/>
      </w:pPr>
      <w:r>
        <w:rPr>
          <w:rFonts w:ascii="宋体" w:hAnsi="宋体" w:eastAsia="宋体"/>
          <w:sz w:val="22"/>
        </w:rPr>
        <w:t>第二，Gemini 改变了搜索方式。Google 的 AI Mode 和 AI Overviews 让用户可以提出更长、更复杂、甚至多模态的问题，系统再把问题拆成多个子问题同步检索并整合答案。过去搜索强调关键词和网页列表，未来搜索更像对话式研究助理。它带来的机遇是降低知识获取门槛，使普通人也能快速完成资料调研、方案比较和跨领域学习。但这也要求用户保留核查意识，因为生成式答案仍可能遗漏背景、简化争议或产生错误。</w:t>
      </w:r>
    </w:p>
    <w:p w14:paraId="15F926A2">
      <w:pPr>
        <w:spacing w:after="120" w:line="360" w:lineRule="auto"/>
        <w:ind w:firstLine="420"/>
      </w:pPr>
      <w:r>
        <w:rPr>
          <w:rFonts w:ascii="宋体" w:hAnsi="宋体" w:eastAsia="宋体"/>
          <w:sz w:val="22"/>
        </w:rPr>
        <w:t>第三，Gemini 在 Workspace 中提升生产效率。Gmail、Docs、Sheets、Slides 和 Meet 中的 AI 能帮助起草邮件、润色文档、分析表格、生成幻灯片、总结会议。企业和学校过去依赖人工完成大量格式化、汇总和初稿工作，AI 进入办公软件后，可以把人的时间从重复劳动转向判断、沟通和创造。成本降低并不只体现在工资或时间上，还体现在试错成本下降：一个学生可以快速生成报告框架，一个小团队可以用较低成本完成市场分析和展示材料。</w:t>
      </w:r>
    </w:p>
    <w:p w14:paraId="0729341D">
      <w:pPr>
        <w:spacing w:after="120" w:line="360" w:lineRule="auto"/>
        <w:ind w:firstLine="420"/>
      </w:pPr>
      <w:r>
        <w:rPr>
          <w:rFonts w:ascii="宋体" w:hAnsi="宋体" w:eastAsia="宋体"/>
          <w:sz w:val="22"/>
        </w:rPr>
        <w:t>第四，AI 在行业场景中创造新价值。医疗领域中，Google Research 的 Med-Gemini 展示了多模态医学问答、病例理解和临床辅助的潜力，未来可帮助医生查阅文献、分析影像和生成病历摘要，但最终诊断仍应由专业人员负责。教育领域中，Gemini 可作为个性化学习伙伴，根据学生水平解释概念、生成练习和反馈。交通领域中，AI 可与 Maps、Waze 结合，预测拥堵、优化路径、辅助出行决策。金融领域中，AI 可用于风险识别、异常交易检测、智能客服和投研摘要，提高服务效率并降低运营成本。</w:t>
      </w:r>
    </w:p>
    <w:p w14:paraId="2636DEDE">
      <w:pPr>
        <w:spacing w:after="120" w:line="360" w:lineRule="auto"/>
        <w:ind w:firstLine="420"/>
      </w:pPr>
      <w:r>
        <w:rPr>
          <w:rFonts w:ascii="宋体" w:hAnsi="宋体" w:eastAsia="宋体"/>
          <w:sz w:val="22"/>
        </w:rPr>
        <w:t>更重要的是，Gemini 为创新提供新的工具平台。开发者可以用模型 API 构建应用，创作者可以用多模态能力生成文字、图片、代码和视频草稿，普通人也可以把自然语言变成操作指令。AI 让“想法到原型”的距离缩短，创新不再完全依赖专业软件技能，而更多取决于问题意识、审美判断和责任意识。</w:t>
      </w:r>
    </w:p>
    <w:p w14:paraId="79D35738">
      <w:pPr>
        <w:numPr>
          <w:ilvl w:val="0"/>
          <w:numId w:val="0"/>
        </w:numPr>
        <w:rPr>
          <w:rFonts w:ascii="黑体" w:hAnsi="黑体" w:eastAsia="黑体"/>
          <w:b/>
          <w:color w:val="000000"/>
          <w:sz w:val="30"/>
        </w:rPr>
      </w:pPr>
      <w:r>
        <w:rPr>
          <w:rFonts w:hint="eastAsia" w:ascii="黑体" w:hAnsi="黑体" w:eastAsia="黑体" w:cstheme="minorBidi"/>
          <w:b/>
          <w:color w:val="000000"/>
          <w:sz w:val="30"/>
          <w:szCs w:val="22"/>
          <w:lang w:val="en-US" w:eastAsia="en-US" w:bidi="ar-SA"/>
        </w:rPr>
        <w:t>三、</w:t>
      </w:r>
      <w:r>
        <w:rPr>
          <w:rFonts w:ascii="黑体" w:hAnsi="黑体" w:eastAsia="黑体"/>
          <w:b/>
          <w:color w:val="000000"/>
          <w:sz w:val="30"/>
        </w:rPr>
        <w:t>挑战与风险</w:t>
      </w:r>
    </w:p>
    <w:p w14:paraId="78262F7E">
      <w:pPr>
        <w:numPr>
          <w:ilvl w:val="0"/>
          <w:numId w:val="0"/>
        </w:numPr>
      </w:pPr>
      <w:r>
        <w:t>随着 Gemini 与现实社会的交织愈发紧密，技术带来的负面效应也从实验室放大到了社会层面，呈现出更加复杂的系统性风险。</w:t>
      </w:r>
    </w:p>
    <w:p w14:paraId="3CD66472">
      <w:pPr>
        <w:numPr>
          <w:numId w:val="0"/>
        </w:numPr>
        <w:ind w:firstLine="480" w:firstLineChars="200"/>
      </w:pPr>
      <w:r>
        <w:rPr>
          <w:rFonts w:hint="eastAsia" w:ascii="黑体" w:hAnsi="黑体" w:eastAsia="黑体" w:cs="黑体"/>
          <w:sz w:val="24"/>
          <w:szCs w:val="24"/>
          <w:lang w:val="en-US" w:eastAsia="zh-CN"/>
        </w:rPr>
        <w:t>1.</w:t>
      </w:r>
      <w:r>
        <w:rPr>
          <w:rFonts w:hint="eastAsia" w:ascii="黑体" w:hAnsi="黑体" w:eastAsia="黑体" w:cs="黑体"/>
          <w:sz w:val="24"/>
          <w:szCs w:val="24"/>
        </w:rPr>
        <w:t>Gemini 越深入 Google 生态，越需要面对数据安全和隐私保护问题。</w:t>
      </w:r>
      <w:r>
        <w:t>Gemini 越是追求无缝和智能，就越需要深度读取用户的上下文——包括浏览历史、邮件往来、文档、实时地理位置以及日程安排。</w:t>
      </w:r>
    </w:p>
    <w:p w14:paraId="103C88C5">
      <w:r>
        <w:t>核心挑战：如何在“深度个性化”与“绝对隐私保护”之间找到平衡？尽管 Google 引入了用户可暂停活动、随时擦除历史记录的治理机制，但在底层架构上，如何确保边缘端（On-device，如 Gemini Nano）与云端（Cloud）数据传输过程中的零信任（Zero-Trust）和端到端加密，依然是建立公众信任的长期技术难点。</w:t>
      </w:r>
    </w:p>
    <w:p w14:paraId="133CBDB0">
      <w:r>
        <w:rPr>
          <w:rFonts w:hint="eastAsia" w:ascii="黑体" w:hAnsi="黑体" w:eastAsia="黑体" w:cs="黑体"/>
          <w:sz w:val="24"/>
          <w:szCs w:val="24"/>
          <w:lang w:val="en-US" w:eastAsia="zh-CN"/>
        </w:rPr>
        <w:t>2.</w:t>
      </w:r>
      <w:r>
        <w:rPr>
          <w:rFonts w:hint="eastAsia" w:ascii="黑体" w:hAnsi="黑体" w:eastAsia="黑体" w:cs="黑体"/>
          <w:sz w:val="24"/>
          <w:szCs w:val="24"/>
        </w:rPr>
        <w:t>算法偏见和幻觉同样突出。</w:t>
      </w:r>
      <w:r>
        <w:t>大语言模型基于人类历史上海量数据的训练，不可避免地继承并可能放大数据中的文化刻板印象、历史偏差和语言霸权。</w:t>
      </w:r>
    </w:p>
    <w:p w14:paraId="69487315">
      <w:r>
        <w:t>• 案例回溯：Gemini 在 2024 年的人物图像生成事件中，由于过度机械地在非特定历史语境下应用“多样性（Diversity）原则”，反而导致了历史事实的失真（如生成了不符合历史事实的特定肤色历史人物）。</w:t>
      </w:r>
    </w:p>
    <w:p w14:paraId="4D13704E">
      <w:r>
        <w:t>• 现实启示：这表明“消除偏见”与“尊重事实”的价值对齐（Alignment）在工程实践中极其精细。一旦处理不当，AI 就会从“信息提炼者”变成“信息信息茧房”乃至“偏见制造机”。</w:t>
      </w:r>
    </w:p>
    <w:p w14:paraId="5BDB6F45">
      <w:r>
        <w:rPr>
          <w:rFonts w:hint="eastAsia" w:ascii="黑体" w:hAnsi="黑体" w:eastAsia="黑体" w:cs="黑体"/>
          <w:sz w:val="24"/>
          <w:szCs w:val="24"/>
          <w:lang w:val="en-US" w:eastAsia="zh-CN"/>
        </w:rPr>
        <w:t>3.</w:t>
      </w:r>
      <w:r>
        <w:rPr>
          <w:rFonts w:hint="eastAsia" w:ascii="黑体" w:hAnsi="黑体" w:eastAsia="黑体" w:cs="黑体"/>
          <w:sz w:val="24"/>
          <w:szCs w:val="24"/>
        </w:rPr>
        <w:t>就业市场也会被重塑。</w:t>
      </w:r>
      <w:r>
        <w:t>AI 的普及正在以一种前所未的速度撕裂传统就业市场。根据世界经济论坛《未来就业报告 2025》，大量格式化、文本流转、初级客服和基础数据分析的岗位正在被 AI 快速替代。</w:t>
      </w:r>
    </w:p>
    <w:p w14:paraId="574EFE0D">
      <w:r>
        <w:t>• 新生态位的诞生：同时，市场急剧释放出对提示词工程（Prompt Engineering）、AI 模型评估、跨模态艺术设计、数据治理与人机协作专家的需求。</w:t>
      </w:r>
    </w:p>
    <w:p w14:paraId="0E3C14B6">
      <w:r>
        <w:t>• 社会痛点：真正的风险不是“机器全面消灭人类工作”，而是“技能错配带来的断层”。低技能、重复性劳动的价值被无情清零，而具备问题定义、跨学科联想和伦理判断的高阶人才将获得极大的溢价。</w:t>
      </w:r>
    </w:p>
    <w:p w14:paraId="205DA331">
      <w:r>
        <w:rPr>
          <w:rFonts w:hint="eastAsia" w:ascii="黑体" w:hAnsi="黑体" w:eastAsia="黑体" w:cs="黑体"/>
          <w:sz w:val="24"/>
          <w:szCs w:val="24"/>
          <w:lang w:val="en-US" w:eastAsia="zh-CN"/>
        </w:rPr>
        <w:t>4.</w:t>
      </w:r>
      <w:r>
        <w:rPr>
          <w:rFonts w:hint="eastAsia" w:ascii="黑体" w:hAnsi="黑体" w:eastAsia="黑体" w:cs="黑体"/>
          <w:sz w:val="24"/>
          <w:szCs w:val="24"/>
        </w:rPr>
        <w:t>伦理和法律问题还包括透明度与责任归属。</w:t>
      </w:r>
      <w:r>
        <w:t>当 Gemini 自动帮用户进行财务决策、在医疗诊断中给出建议，或者在 Chrome 浏览器中自动执行一笔跨网页的购买或酒店预订合规确认时，法律主体的边界开始模糊。</w:t>
      </w:r>
    </w:p>
    <w:p w14:paraId="4CD925ED">
      <w:r>
        <w:t>• 权责归属：若 AI 的建议导致了经济损失、隐私泄露或医疗事故，责任究竟属于底层模型开发商、提供接入的软件平台，还是最后按下确认键的操作者？</w:t>
      </w:r>
    </w:p>
    <w:p w14:paraId="348306EC">
      <w:r>
        <w:t>• 框架引入：根据美国 NIST 的《人工智能风险管理框架 (AI RMF 1.0)》，整个社会亟需从传统的“事后追责”转向“贯穿设计、开发、部署到使用的全生命周期风险管理体系”，构建可审计、可解释的算法信任机制。</w:t>
      </w:r>
    </w:p>
    <w:p w14:paraId="0A20D60A">
      <w:pPr>
        <w:pStyle w:val="3"/>
        <w:spacing w:before="240" w:after="120"/>
      </w:pPr>
      <w:bookmarkStart w:id="1" w:name="_GoBack"/>
      <w:bookmarkEnd w:id="1"/>
      <w:r>
        <w:rPr>
          <w:rFonts w:ascii="黑体" w:hAnsi="黑体" w:eastAsia="黑体"/>
          <w:b/>
          <w:color w:val="000000"/>
          <w:sz w:val="30"/>
        </w:rPr>
        <w:t>四、案例分析</w:t>
      </w:r>
    </w:p>
    <w:p w14:paraId="221598FA">
      <w:pPr>
        <w:pStyle w:val="4"/>
        <w:spacing w:before="160" w:after="120"/>
      </w:pPr>
      <w:r>
        <w:rPr>
          <w:rFonts w:ascii="黑体" w:hAnsi="黑体" w:eastAsia="黑体"/>
          <w:b/>
          <w:color w:val="000000"/>
          <w:sz w:val="26"/>
        </w:rPr>
        <w:t>案例一：Gemini in Chrome 与 AI Mode</w:t>
      </w:r>
    </w:p>
    <w:p w14:paraId="4B9F025F">
      <w:pPr>
        <w:spacing w:after="120" w:line="360" w:lineRule="auto"/>
        <w:ind w:firstLine="420"/>
      </w:pPr>
      <w:r>
        <w:rPr>
          <w:rFonts w:ascii="宋体" w:hAnsi="宋体" w:eastAsia="宋体"/>
          <w:sz w:val="22"/>
        </w:rPr>
        <w:t>Gemini in Chrome 和 AI Mode 代表了 Google 把 AI 放入“入口级产品”的战略。它的机遇在于把搜索、阅读、比较和执行任务连接起来：用户不必在多个网页之间反复复制粘贴，AI 可以总结 YouTube 视频、比较打开的标签页、创建学习资料，甚至在特定条件下执行自动浏览任务。这会显著改变学习、消费和办公习惯，使浏览器从被动窗口变成主动助理。挑战也很直接：浏览器掌握的信息极其私人，若权限设计不清晰，用户可能在不理解的情况下暴露邮件、网页记录、购物偏好和日程信息。此外，当 AI 把多个网页整合成一个答案时，用户更容易忽视原始来源和不同观点，信息茧房可能从“推荐算法”进一步发展为“答案算法”。</w:t>
      </w:r>
    </w:p>
    <w:p w14:paraId="779E06D0">
      <w:pPr>
        <w:pStyle w:val="4"/>
        <w:spacing w:before="160" w:after="120"/>
      </w:pPr>
      <w:r>
        <w:rPr>
          <w:rFonts w:ascii="黑体" w:hAnsi="黑体" w:eastAsia="黑体"/>
          <w:b/>
          <w:color w:val="000000"/>
          <w:sz w:val="26"/>
        </w:rPr>
        <w:t>案例二：Gemini 图像生成争议</w:t>
      </w:r>
    </w:p>
    <w:p w14:paraId="13B2CC27">
      <w:pPr>
        <w:spacing w:after="120" w:line="360" w:lineRule="auto"/>
        <w:ind w:firstLine="420"/>
      </w:pPr>
      <w:r>
        <w:rPr>
          <w:rFonts w:ascii="宋体" w:hAnsi="宋体" w:eastAsia="宋体"/>
          <w:sz w:val="22"/>
        </w:rPr>
        <w:t>2024 年，Gemini 图像生成因在历史人物和人物群体呈现上出现明显不符合事实的结果而受到批评，Google 随后解释并暂停相关人物图像生成功能进行改进。这个案例说明，AI 的挑战不只是技术准确率，还包括价值目标之间的平衡。为了避免刻板印象，模型可能被训练为更重视多样性；但如果忽视具体历史语境，就会把“公平表达”变成“事实错误”。该事件的启示是：AI 产品上线前应进行更细分的场景测试，特别是历史、医学、法律、金融等高风险领域；上线后也要保持快速纠错和公开说明，才能维持公众信任。</w:t>
      </w:r>
    </w:p>
    <w:p w14:paraId="30B1D98C">
      <w:pPr>
        <w:pStyle w:val="4"/>
        <w:spacing w:before="160" w:after="120"/>
      </w:pPr>
      <w:r>
        <w:rPr>
          <w:rFonts w:ascii="黑体" w:hAnsi="黑体" w:eastAsia="黑体"/>
          <w:b/>
          <w:color w:val="000000"/>
          <w:sz w:val="26"/>
        </w:rPr>
        <w:t>案例三：Med-Gemini 医疗探索</w:t>
      </w:r>
    </w:p>
    <w:p w14:paraId="5F6129C8">
      <w:pPr>
        <w:spacing w:after="120" w:line="360" w:lineRule="auto"/>
        <w:ind w:firstLine="420"/>
      </w:pPr>
      <w:r>
        <w:rPr>
          <w:rFonts w:ascii="宋体" w:hAnsi="宋体" w:eastAsia="宋体"/>
          <w:sz w:val="22"/>
        </w:rPr>
        <w:t>Med-Gemini 展示了 Gemini 技术在医疗场景中的积极前景。医学知识庞杂、更新迅速，医生需要同时处理病历、影像、检验结果和文献。多模态 AI 可以帮助提取关键信息、生成初步摘要和辅助查阅证据，从而缓解医疗资源不均衡问题。但医疗也是高风险领域，模型不能替代医生诊断，更不能在缺乏监管时直接面向患者做最终决策。机会与挑战在这里高度统一：AI 越有能力，就越需要明确责任、验证性能和保护病人隐私。</w:t>
      </w:r>
    </w:p>
    <w:p w14:paraId="1C83FFF7">
      <w:pPr>
        <w:pStyle w:val="3"/>
        <w:spacing w:before="240" w:after="120"/>
      </w:pPr>
      <w:r>
        <w:rPr>
          <w:rFonts w:ascii="黑体" w:hAnsi="黑体" w:eastAsia="黑体"/>
          <w:b/>
          <w:color w:val="000000"/>
          <w:sz w:val="30"/>
        </w:rPr>
        <w:t>五、结论与建议</w:t>
      </w:r>
    </w:p>
    <w:p w14:paraId="159C5E49">
      <w:r>
        <w:t>综上所述，以 Gemini 为代表的 AI 技术正以一种“全面渗透”的姿态嵌入 Google 整个产品生态，深刻地改变着人类获取知识、生产内容和协同工作的方式。它不再是一个单纯的技术产品，而是已经成为重塑现实世界信息格局和生产力关系的“智慧基础设施”。</w:t>
      </w:r>
    </w:p>
    <w:p w14:paraId="57524243">
      <w:r>
        <w:t>面对这场波澜壮阔的生态转型，社会、高校及个人应当采取主动进化、而非盲目排斥的策略：</w:t>
      </w:r>
    </w:p>
    <w:p w14:paraId="038174DC">
      <w:pPr>
        <w:spacing w:before="0" w:after="120"/>
        <w:jc w:val="left"/>
      </w:pPr>
      <w:r>
        <w:rPr>
          <w:rFonts w:ascii="黑体" w:hAnsi="黑体"/>
          <w:b/>
          <w:color w:val="000000"/>
          <w:sz w:val="24"/>
        </w:rPr>
        <w:t>1. 个人层面：从“答案索取者”到“问题定义者”与“批判性核查者”</w:t>
      </w:r>
    </w:p>
    <w:p w14:paraId="7FFFEBC7">
      <w:r>
        <w:t>在“答案垂手可得”的时代，单纯的记忆与基础的信息拼凑失去了市场价值。作为新时代的大学生（如光电信息、工程等专业的学生），应主动将 AI 视为“认知放大器”。</w:t>
      </w:r>
    </w:p>
    <w:p w14:paraId="5AD3784F">
      <w:r>
        <w:t>• 重塑核心能力：我们要学会通过精准的 Prompt 设计去拆解复杂课题，建立多维度的批判性思维（Critical Thinking），对 AI 产生的结果保持常态化的溯源和实证核查意识。</w:t>
      </w:r>
    </w:p>
    <w:p w14:paraId="46214B7B">
      <w:r>
        <w:t>• 能力升维：将精力更多地投入到框架搭建、跨学科联想、实验验证以及伦理价值判断等 AI 无法触及的“人类核心区”。</w:t>
      </w:r>
    </w:p>
    <w:p w14:paraId="7CA03519">
      <w:pPr>
        <w:spacing w:before="0" w:after="120"/>
        <w:jc w:val="left"/>
      </w:pPr>
      <w:r>
        <w:rPr>
          <w:rFonts w:ascii="黑体" w:hAnsi="黑体"/>
          <w:b/>
          <w:color w:val="000000"/>
          <w:sz w:val="24"/>
        </w:rPr>
        <w:t>2. 社会与高校层面：构建动态平衡的治理生态与 AI 素养教育</w:t>
      </w:r>
    </w:p>
    <w:p w14:paraId="49322191">
      <w:r>
        <w:t>• 教学范式重塑：高校应当将 AI 素养（AI Literacy）和提示词工程、算法伦理等课程全面纳入通识教育体系，不仅要教会学生如何高效使用工具，更要培养其数据隐私保护和伦理红线意识。</w:t>
      </w:r>
    </w:p>
    <w:p w14:paraId="3739F8AB">
      <w:r>
        <w:t>• 制度化安全网：在政策与产业层面，必须加快落实类似 NIST AI RMF 的安全框架，推动国内相关算法备案与可信 AI 治理机制的落地；同时，针对因技术转型受到冲击的劳动者，建立全社会的“再培训（Reskilling）”与技能平稳过渡机制。</w:t>
      </w:r>
    </w:p>
    <w:p w14:paraId="69D7E86E">
      <w:r>
        <w:t>唯有将技术创新的速度与理性治理的能力保持同频，以 Gemini 为核心的智能生态才能真正转化为改善人类现实生活、推动社会文明跃升的普惠技术，而不是加剧数字鸿沟与认知撕裂的风险放大器。</w:t>
      </w:r>
    </w:p>
    <w:p w14:paraId="4A87EBBE">
      <w:pPr>
        <w:pStyle w:val="3"/>
        <w:spacing w:before="240" w:after="120"/>
      </w:pPr>
      <w:r>
        <w:rPr>
          <w:rFonts w:ascii="黑体" w:hAnsi="黑体" w:eastAsia="黑体"/>
          <w:b/>
          <w:color w:val="000000"/>
          <w:sz w:val="30"/>
        </w:rPr>
        <w:t>参考资料</w:t>
      </w:r>
    </w:p>
    <w:p w14:paraId="667A1FA0">
      <w:pPr>
        <w:pStyle w:val="14"/>
        <w:spacing w:after="60" w:line="276" w:lineRule="auto"/>
      </w:pPr>
      <w:r>
        <w:rPr>
          <w:rFonts w:ascii="宋体" w:hAnsi="宋体" w:eastAsia="宋体"/>
          <w:sz w:val="18"/>
        </w:rPr>
        <w:t>Google.《Gemini in Chrome: help right where you need it》[EB/OL]. Google Chrome 官方产品介绍，2025.</w:t>
      </w:r>
    </w:p>
    <w:p w14:paraId="05E5D69E">
      <w:pPr>
        <w:pStyle w:val="14"/>
        <w:spacing w:after="60" w:line="276" w:lineRule="auto"/>
      </w:pPr>
      <w:r>
        <w:rPr>
          <w:rFonts w:ascii="宋体" w:hAnsi="宋体" w:eastAsia="宋体"/>
          <w:sz w:val="18"/>
        </w:rPr>
        <w:t>Google.《AI in Search: Going beyond information to intelligence》[EB/OL]. Google Search 官方博客，2025.</w:t>
      </w:r>
    </w:p>
    <w:p w14:paraId="30EBB3B8">
      <w:pPr>
        <w:pStyle w:val="14"/>
        <w:spacing w:after="60" w:line="276" w:lineRule="auto"/>
      </w:pPr>
      <w:r>
        <w:rPr>
          <w:rFonts w:ascii="宋体" w:hAnsi="宋体" w:eastAsia="宋体"/>
          <w:sz w:val="18"/>
        </w:rPr>
        <w:t>Google Workspace.《AI tools for business》[EB/OL]. Google Workspace 官方资料，2025.</w:t>
      </w:r>
    </w:p>
    <w:p w14:paraId="509E3A45">
      <w:pPr>
        <w:pStyle w:val="14"/>
        <w:spacing w:after="60" w:line="276" w:lineRule="auto"/>
      </w:pPr>
      <w:r>
        <w:rPr>
          <w:rFonts w:ascii="宋体" w:hAnsi="宋体" w:eastAsia="宋体"/>
          <w:sz w:val="18"/>
        </w:rPr>
        <w:t>Google Research.《Advancing medical AI with Med-Gemini》[EB/OL]. Google Research Blog，2024.</w:t>
      </w:r>
    </w:p>
    <w:p w14:paraId="5DCA783E">
      <w:pPr>
        <w:pStyle w:val="14"/>
        <w:spacing w:after="60" w:line="276" w:lineRule="auto"/>
      </w:pPr>
      <w:r>
        <w:rPr>
          <w:rFonts w:ascii="宋体" w:hAnsi="宋体" w:eastAsia="宋体"/>
          <w:sz w:val="18"/>
        </w:rPr>
        <w:t>Prabhakar Raghavan 等.《Gemini image generation: what happened and what we are doing》[EB/OL]. Google 官方说明，2024.</w:t>
      </w:r>
    </w:p>
    <w:p w14:paraId="08A0484F">
      <w:pPr>
        <w:pStyle w:val="14"/>
        <w:spacing w:after="60" w:line="276" w:lineRule="auto"/>
      </w:pPr>
      <w:r>
        <w:rPr>
          <w:rFonts w:ascii="宋体" w:hAnsi="宋体" w:eastAsia="宋体"/>
          <w:sz w:val="18"/>
        </w:rPr>
        <w:t>National Institute of Standards and Technology.《Artificial Intelligence Risk Management Framework (AI RMF 1.0)》[R]. NIST，2023.</w:t>
      </w:r>
    </w:p>
    <w:p w14:paraId="18FCC2F8">
      <w:pPr>
        <w:pStyle w:val="14"/>
        <w:spacing w:after="60" w:line="276" w:lineRule="auto"/>
      </w:pPr>
      <w:r>
        <w:rPr>
          <w:rFonts w:ascii="宋体" w:hAnsi="宋体" w:eastAsia="宋体"/>
          <w:sz w:val="18"/>
        </w:rPr>
        <w:t>World Economic Forum.《The Future of Jobs Report 2025》[R]. World Economic Forum，2025.</w:t>
      </w:r>
    </w:p>
    <w:p w14:paraId="6C123F34">
      <w:pPr>
        <w:pStyle w:val="14"/>
        <w:spacing w:after="60" w:line="276" w:lineRule="auto"/>
      </w:pPr>
      <w:r>
        <w:rPr>
          <w:rFonts w:ascii="宋体" w:hAnsi="宋体" w:eastAsia="宋体"/>
          <w:sz w:val="18"/>
        </w:rPr>
        <w:t>Stuart Russell, Peter Norvig.《人工智能：一种现代的方法》[M]. 北京：清华大学出版社，相关版本.</w:t>
      </w:r>
    </w:p>
    <w:sectPr>
      <w:pgSz w:w="11906" w:h="16838"/>
      <w:pgMar w:top="1417" w:right="1531" w:bottom="1304"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xZmQ1N2EyMzI0NjFkOGEzMGYwOGE1YmQwZTk5MzYifQ=="/>
  </w:docVars>
  <w:rsids>
    <w:rsidRoot w:val="00B47730"/>
    <w:rsid w:val="00034616"/>
    <w:rsid w:val="0006063C"/>
    <w:rsid w:val="0015074B"/>
    <w:rsid w:val="0029639D"/>
    <w:rsid w:val="00326F90"/>
    <w:rsid w:val="00AA1D8D"/>
    <w:rsid w:val="00B47730"/>
    <w:rsid w:val="00CB0664"/>
    <w:rsid w:val="00FC693F"/>
    <w:rsid w:val="08F25A98"/>
    <w:rsid w:val="5ACF0D6F"/>
    <w:rsid w:val="6DE95B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3103</Words>
  <Characters>3939</Characters>
  <Lines>0</Lines>
  <Paragraphs>0</Paragraphs>
  <TotalTime>0</TotalTime>
  <ScaleCrop>false</ScaleCrop>
  <LinksUpToDate>false</LinksUpToDate>
  <CharactersWithSpaces>4144</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2026-05-30T19:47:20Z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C0AB570643B14617A74B50E85A87C662_13</vt:lpwstr>
  </property>
</Properties>
</file>