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49FD7" w14:textId="66C46DB2" w:rsidR="006936A4" w:rsidRDefault="00937013" w:rsidP="006936A4">
      <w:pPr>
        <w:rPr>
          <w:rFonts w:ascii="Arial" w:hAnsi="Arial" w:cs="Arial"/>
          <w:b/>
          <w:bCs/>
          <w:color w:val="000000" w:themeColor="text1"/>
          <w:lang w:val="pt-BR"/>
        </w:rPr>
      </w:pPr>
      <w:bookmarkStart w:id="0" w:name="_Hlk204638123"/>
      <w:bookmarkEnd w:id="0"/>
      <w:r>
        <w:rPr>
          <w:rFonts w:ascii="Arial" w:hAnsi="Arial" w:cs="Arial"/>
          <w:b/>
          <w:bCs/>
          <w:noProof/>
          <w:color w:val="000000" w:themeColor="text1"/>
          <w:lang w:val="pt-BR"/>
        </w:rPr>
        <w:drawing>
          <wp:anchor distT="0" distB="0" distL="114300" distR="114300" simplePos="0" relativeHeight="251658240" behindDoc="0" locked="0" layoutInCell="1" allowOverlap="1" wp14:anchorId="3CDC062B" wp14:editId="16A00D81">
            <wp:simplePos x="0" y="0"/>
            <wp:positionH relativeFrom="column">
              <wp:posOffset>2358390</wp:posOffset>
            </wp:positionH>
            <wp:positionV relativeFrom="paragraph">
              <wp:posOffset>-890270</wp:posOffset>
            </wp:positionV>
            <wp:extent cx="885825" cy="885825"/>
            <wp:effectExtent l="0" t="0" r="0" b="0"/>
            <wp:wrapNone/>
            <wp:docPr id="999582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82029" name="Imagem 9995820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6A4" w:rsidRPr="006936A4">
        <w:rPr>
          <w:rFonts w:ascii="Arial" w:hAnsi="Arial" w:cs="Arial"/>
          <w:b/>
          <w:bCs/>
          <w:color w:val="000000" w:themeColor="text1"/>
          <w:lang w:val="pt-BR"/>
        </w:rPr>
        <w:t>NEXOBANK - SOLUTION DESIGN DOCUMENT</w:t>
      </w:r>
      <w:r w:rsidR="006936A4" w:rsidRPr="006936A4">
        <w:rPr>
          <w:rFonts w:ascii="Arial" w:hAnsi="Arial" w:cs="Arial"/>
          <w:b/>
          <w:bCs/>
          <w:color w:val="000000" w:themeColor="text1"/>
          <w:lang w:val="pt-BR"/>
        </w:rPr>
        <w:br/>
        <w:t>Projeto: Módulo de Insights Financeiros com IA Generativa</w:t>
      </w:r>
      <w:r w:rsidR="006936A4" w:rsidRPr="006936A4">
        <w:rPr>
          <w:rFonts w:ascii="Arial" w:hAnsi="Arial" w:cs="Arial"/>
          <w:b/>
          <w:bCs/>
          <w:color w:val="000000" w:themeColor="text1"/>
          <w:lang w:val="pt-BR"/>
        </w:rPr>
        <w:br/>
        <w:t>Versão: 1.0</w:t>
      </w:r>
      <w:r w:rsidR="006936A4" w:rsidRPr="006936A4">
        <w:rPr>
          <w:rFonts w:ascii="Arial" w:hAnsi="Arial" w:cs="Arial"/>
          <w:b/>
          <w:bCs/>
          <w:color w:val="000000" w:themeColor="text1"/>
          <w:lang w:val="pt-BR"/>
        </w:rPr>
        <w:br/>
        <w:t xml:space="preserve">Data: </w:t>
      </w:r>
      <w:r w:rsidR="003B1E24">
        <w:rPr>
          <w:rFonts w:ascii="Arial" w:hAnsi="Arial" w:cs="Arial"/>
          <w:b/>
          <w:bCs/>
          <w:color w:val="000000" w:themeColor="text1"/>
          <w:lang w:val="pt-BR"/>
        </w:rPr>
        <w:t>29</w:t>
      </w:r>
      <w:r w:rsidR="006936A4" w:rsidRPr="007A334A">
        <w:rPr>
          <w:rFonts w:ascii="Arial" w:hAnsi="Arial" w:cs="Arial"/>
          <w:b/>
          <w:bCs/>
          <w:color w:val="000000" w:themeColor="text1"/>
          <w:lang w:val="pt-BR"/>
        </w:rPr>
        <w:t>/07/2025</w:t>
      </w:r>
      <w:r w:rsidR="007A334A" w:rsidRPr="007A334A">
        <w:rPr>
          <w:rFonts w:ascii="Arial" w:hAnsi="Arial" w:cs="Arial"/>
          <w:b/>
          <w:bCs/>
          <w:color w:val="000000" w:themeColor="text1"/>
          <w:lang w:val="pt-BR"/>
        </w:rPr>
        <w:t xml:space="preserve"> </w:t>
      </w:r>
      <w:r w:rsidR="007A334A">
        <w:rPr>
          <w:rFonts w:ascii="Arial" w:hAnsi="Arial" w:cs="Arial"/>
          <w:b/>
          <w:bCs/>
          <w:color w:val="000000" w:themeColor="text1"/>
          <w:lang w:val="pt-BR"/>
        </w:rPr>
        <w:br/>
        <w:t>Autor: Jhonat Heberson Avelino de Souza</w:t>
      </w:r>
    </w:p>
    <w:p w14:paraId="6F393A6C" w14:textId="0CF472C0" w:rsidR="007A334A" w:rsidRPr="006936A4" w:rsidRDefault="007A334A" w:rsidP="006936A4">
      <w:pPr>
        <w:rPr>
          <w:rFonts w:ascii="Arial" w:hAnsi="Arial" w:cs="Arial"/>
          <w:b/>
          <w:bCs/>
          <w:color w:val="000000" w:themeColor="text1"/>
          <w:lang w:val="pt-BR"/>
        </w:rPr>
      </w:pPr>
    </w:p>
    <w:sdt>
      <w:sdtPr>
        <w:rPr>
          <w:lang w:val="pt-BR"/>
        </w:rPr>
        <w:id w:val="2904109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14:paraId="22848259" w14:textId="7F4802FE" w:rsidR="006936A4" w:rsidRDefault="006936A4">
          <w:pPr>
            <w:pStyle w:val="CabealhodoSumrio"/>
          </w:pPr>
          <w:r>
            <w:rPr>
              <w:lang w:val="pt-BR"/>
            </w:rPr>
            <w:t>Sumário</w:t>
          </w:r>
        </w:p>
        <w:p w14:paraId="770D365C" w14:textId="05E5393F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26217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Arquitetura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53B1" w14:textId="59F12627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204626218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Estratégia de IA Generativa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9945" w14:textId="381BC4BC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204626219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Segurança e Governança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E275" w14:textId="5AD0F1B4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204626220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Exemplo de Insight e Aplicação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55AE" w14:textId="419A2071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204626221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Avaliação Comparativa: Amazon Q Business vs AWS Bedrock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1D05F" w14:textId="0B203257" w:rsidR="006936A4" w:rsidRDefault="006936A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204626222" w:history="1">
            <w:r w:rsidRPr="002A2327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8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D214" w14:textId="6728CAAE" w:rsidR="00585025" w:rsidRPr="006936A4" w:rsidRDefault="006936A4">
          <w:r>
            <w:rPr>
              <w:b/>
              <w:bCs/>
              <w:lang w:val="pt-BR"/>
            </w:rPr>
            <w:fldChar w:fldCharType="end"/>
          </w:r>
        </w:p>
      </w:sdtContent>
    </w:sdt>
    <w:p w14:paraId="330EB6EB" w14:textId="77777777" w:rsidR="00937013" w:rsidRDefault="00937013">
      <w:pPr>
        <w:pStyle w:val="FirstParagraph"/>
        <w:rPr>
          <w:rFonts w:ascii="Arial" w:hAnsi="Arial" w:cs="Arial"/>
          <w:color w:val="000000" w:themeColor="text1"/>
          <w:lang w:val="pt-BR"/>
        </w:rPr>
      </w:pPr>
    </w:p>
    <w:p w14:paraId="52423742" w14:textId="77777777" w:rsidR="00937013" w:rsidRDefault="00937013" w:rsidP="00937013">
      <w:pPr>
        <w:rPr>
          <w:rFonts w:ascii="Arial" w:hAnsi="Arial" w:cs="Arial"/>
          <w:b/>
          <w:bCs/>
          <w:color w:val="000000" w:themeColor="text1"/>
        </w:rPr>
      </w:pPr>
      <w:r w:rsidRPr="006936A4">
        <w:rPr>
          <w:rFonts w:ascii="Arial" w:hAnsi="Arial" w:cs="Arial"/>
          <w:b/>
          <w:bCs/>
          <w:color w:val="000000" w:themeColor="text1"/>
        </w:rPr>
        <w:t>Revisores:</w:t>
      </w:r>
    </w:p>
    <w:p w14:paraId="514EB691" w14:textId="1CB6EB32" w:rsidR="00937013" w:rsidRDefault="00937013" w:rsidP="00937013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pict w14:anchorId="6C1A7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4" type="#_x0000_t75" alt="Linha de Assinatura do Microsoft Office..." style="width:192.15pt;height:95.85pt">
            <v:imagedata r:id="rId9" o:title=""/>
            <o:lock v:ext="edit" ungrouping="t" rotation="t" cropping="t" verticies="t" text="t" grouping="t"/>
            <o:signatureline v:ext="edit" id="{42B16443-3311-4B8A-85A3-4B56C14E5384}" provid="{00000000-0000-0000-0000-000000000000}" o:suggestedsigner="João Andrade" o:suggestedsigner2="CTO NrxoBank" issignatureline="t"/>
          </v:shape>
        </w:pict>
      </w:r>
    </w:p>
    <w:p w14:paraId="013ADFC5" w14:textId="6D03077C" w:rsidR="00937013" w:rsidRPr="00937013" w:rsidRDefault="00937013" w:rsidP="00937013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pict w14:anchorId="0DB42027">
          <v:shape id="_x0000_i1086" type="#_x0000_t75" alt="Linha de Assinatura do Microsoft Office..." style="width:192.15pt;height:95.85pt">
            <v:imagedata r:id="rId10" o:title=""/>
            <o:lock v:ext="edit" ungrouping="t" rotation="t" cropping="t" verticies="t" text="t" grouping="t"/>
            <o:signatureline v:ext="edit" id="{B79157B9-C008-44CB-BF17-4F08B1A44872}" provid="{00000000-0000-0000-0000-000000000000}" o:suggestedsigner="Lucas Freitas" o:suggestedsigner2="Especialista em Segurança da Informação" issignatureline="t"/>
          </v:shape>
        </w:pict>
      </w:r>
    </w:p>
    <w:p w14:paraId="0C7DC642" w14:textId="6198DECD" w:rsidR="00937013" w:rsidRDefault="00937013">
      <w:pPr>
        <w:pStyle w:val="FirstParagraph"/>
        <w:rPr>
          <w:rFonts w:ascii="Arial" w:hAnsi="Arial" w:cs="Arial"/>
          <w:color w:val="000000" w:themeColor="text1"/>
          <w:lang w:val="pt-BR"/>
        </w:rPr>
      </w:pPr>
      <w:r>
        <w:rPr>
          <w:rFonts w:ascii="Arial" w:hAnsi="Arial" w:cs="Arial"/>
          <w:b/>
          <w:bCs/>
          <w:color w:val="000000" w:themeColor="text1"/>
        </w:rPr>
        <w:pict w14:anchorId="3069B030">
          <v:shape id="_x0000_i1092" type="#_x0000_t75" alt="Linha de Assinatura do Microsoft Office..." style="width:192.15pt;height:95.85pt">
            <v:imagedata r:id="rId11" o:title=""/>
            <o:lock v:ext="edit" ungrouping="t" rotation="t" cropping="t" verticies="t" text="t" grouping="t"/>
            <o:signatureline v:ext="edit" id="{C279AA35-47A6-4F21-B797-23031E65838F}" provid="{00000000-0000-0000-0000-000000000000}" o:suggestedsigner="Ana Paula" o:suggestedsigner2="Gerente de Engenharia de Dados" issignatureline="t"/>
          </v:shape>
        </w:pict>
      </w:r>
    </w:p>
    <w:p w14:paraId="332C87F9" w14:textId="77777777" w:rsidR="00937013" w:rsidRDefault="00937013">
      <w:pPr>
        <w:pStyle w:val="FirstParagraph"/>
        <w:rPr>
          <w:rFonts w:ascii="Arial" w:hAnsi="Arial" w:cs="Arial"/>
          <w:color w:val="000000" w:themeColor="text1"/>
          <w:lang w:val="pt-BR"/>
        </w:rPr>
      </w:pPr>
    </w:p>
    <w:p w14:paraId="1B5B36E3" w14:textId="252989B0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O presente documento descreve a proposta arquitetural para o novo módulo de insights financeiros do NexoBank, com foco no uso de Inteligência Artificial Generativa de forma segura, reprodutível e integrada ao ambiente multicloud já adotado pela organização.</w:t>
      </w:r>
    </w:p>
    <w:p w14:paraId="15557257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O NexoBank é uma fintech digital que já utiliza modelos tradicionais de machine learning, e agora deseja ampliar suas capacidades para gerar insights personalizados a partir dos dados dos clientes, combinando transações financeiras, contratos e documentos internos. Esse novo módulo será acessado exclusivamente via o aplicativo mobile dos clientes Private e Select.</w:t>
      </w:r>
    </w:p>
    <w:p w14:paraId="0A103F36" w14:textId="6B762BBE" w:rsidR="00585025" w:rsidRPr="00E51857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 xml:space="preserve">Para dar suporte a esse novo recurso, propomos uma arquitetura baseada em serviços gerenciados da AWS e integração com o legado existente na Oracle Cloud (OCI). </w:t>
      </w:r>
      <w:r w:rsidR="00E51857">
        <w:rPr>
          <w:rFonts w:ascii="Arial" w:hAnsi="Arial" w:cs="Arial"/>
          <w:color w:val="000000" w:themeColor="text1"/>
          <w:lang w:val="pt-BR"/>
        </w:rPr>
        <w:t xml:space="preserve"> A</w:t>
      </w:r>
      <w:r w:rsidR="00E51857" w:rsidRPr="00E51857">
        <w:rPr>
          <w:rFonts w:ascii="Arial" w:hAnsi="Arial" w:cs="Arial"/>
          <w:color w:val="000000" w:themeColor="text1"/>
          <w:lang w:val="pt-BR"/>
        </w:rPr>
        <w:t xml:space="preserve"> conectividade multicloud entre a Oracle Cloud Infrastructure (OCI) e a Amazon Web Services (AWS) usando o backbone Megaport,</w:t>
      </w:r>
      <w:r w:rsidR="00E51857" w:rsidRPr="00E51857">
        <w:rPr>
          <w:rFonts w:ascii="Tahoma" w:hAnsi="Tahoma" w:cs="Tahoma"/>
          <w:color w:val="222222"/>
          <w:shd w:val="clear" w:color="auto" w:fill="FFFFFF"/>
          <w:lang w:val="pt-BR"/>
        </w:rPr>
        <w:t xml:space="preserve"> </w:t>
      </w:r>
      <w:r w:rsidR="00E51857" w:rsidRPr="00E51857">
        <w:rPr>
          <w:rFonts w:ascii="Arial" w:hAnsi="Arial" w:cs="Arial"/>
          <w:color w:val="000000" w:themeColor="text1"/>
          <w:lang w:val="pt-BR"/>
        </w:rPr>
        <w:t>O Backbone Megaport mostra que um Roteador de Nuvem Megaport interconecta o VXC que anexa ao Oracle Cloud Infrastructure FastConnect e aos circuitos VIF Privados do AWS Direct Connect</w:t>
      </w:r>
      <w:r w:rsidR="00E51857">
        <w:rPr>
          <w:rFonts w:ascii="Arial" w:hAnsi="Arial" w:cs="Arial"/>
          <w:color w:val="000000" w:themeColor="text1"/>
          <w:lang w:val="pt-BR"/>
        </w:rPr>
        <w:t xml:space="preserve">, </w:t>
      </w:r>
      <w:r w:rsidR="00E51857" w:rsidRPr="00E51857">
        <w:rPr>
          <w:rFonts w:ascii="Arial" w:hAnsi="Arial" w:cs="Arial"/>
          <w:color w:val="000000" w:themeColor="text1"/>
          <w:lang w:val="pt-BR"/>
        </w:rPr>
        <w:t>A região do OCI mostra uma Rede Virtual na Nuvem (VCN) com o serviço de nuvem implantado. A VCN usada para o banco de dados tem um gateway de roteamento dinâmico (DRG). O serviço de nuvem se conecta ao VXC dentro do Backbone Megaport usando FastConnect por meio do gateway de roteamento dinâmico.</w:t>
      </w:r>
      <w:r w:rsidR="00E51857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E51857" w:rsidRPr="00740B51">
        <w:rPr>
          <w:rFonts w:ascii="Arial" w:hAnsi="Arial" w:cs="Arial"/>
          <w:color w:val="000000" w:themeColor="text1"/>
          <w:lang w:val="pt-BR"/>
        </w:rPr>
        <w:t>Região da AWS mostra a Nuvem Privada Virtual (VPC)</w:t>
      </w:r>
      <w:r w:rsidR="00740B51">
        <w:rPr>
          <w:rFonts w:ascii="Arial" w:hAnsi="Arial" w:cs="Arial"/>
          <w:color w:val="000000" w:themeColor="text1"/>
          <w:lang w:val="pt-BR"/>
        </w:rPr>
        <w:t xml:space="preserve">, </w:t>
      </w:r>
      <w:proofErr w:type="gramStart"/>
      <w:r w:rsidR="00740B51" w:rsidRPr="00740B51">
        <w:rPr>
          <w:rFonts w:ascii="Arial" w:hAnsi="Arial" w:cs="Arial"/>
          <w:color w:val="000000" w:themeColor="text1"/>
          <w:lang w:val="pt-BR"/>
        </w:rPr>
        <w:t>Na</w:t>
      </w:r>
      <w:proofErr w:type="gramEnd"/>
      <w:r w:rsidR="00740B51" w:rsidRPr="00740B51">
        <w:rPr>
          <w:rFonts w:ascii="Arial" w:hAnsi="Arial" w:cs="Arial"/>
          <w:color w:val="000000" w:themeColor="text1"/>
          <w:lang w:val="pt-BR"/>
        </w:rPr>
        <w:t xml:space="preserve"> região da AWS, a VPC usada para </w:t>
      </w:r>
      <w:r w:rsidR="00740B51">
        <w:rPr>
          <w:rFonts w:ascii="Arial" w:hAnsi="Arial" w:cs="Arial"/>
          <w:color w:val="000000" w:themeColor="text1"/>
          <w:lang w:val="pt-BR"/>
        </w:rPr>
        <w:t>acessar API Gateway</w:t>
      </w:r>
      <w:r w:rsidR="00740B51" w:rsidRPr="00740B51">
        <w:rPr>
          <w:rFonts w:ascii="Arial" w:hAnsi="Arial" w:cs="Arial"/>
          <w:color w:val="000000" w:themeColor="text1"/>
          <w:lang w:val="pt-BR"/>
        </w:rPr>
        <w:t xml:space="preserve"> tem um gateway virtual (VGW). Um VIF privado do AWS Direct Connect é usado para associar o VGW ao AWS Direct Connect</w:t>
      </w:r>
      <w:r w:rsidR="00740B51">
        <w:rPr>
          <w:rFonts w:ascii="Arial" w:hAnsi="Arial" w:cs="Arial"/>
          <w:color w:val="000000" w:themeColor="text1"/>
          <w:lang w:val="pt-BR"/>
        </w:rPr>
        <w:t xml:space="preserve"> </w:t>
      </w:r>
      <w:sdt>
        <w:sdtPr>
          <w:rPr>
            <w:rFonts w:ascii="Arial" w:hAnsi="Arial" w:cs="Arial"/>
            <w:color w:val="000000" w:themeColor="text1"/>
            <w:lang w:val="pt-BR"/>
          </w:rPr>
          <w:id w:val="-1903204577"/>
          <w:citation/>
        </w:sdtPr>
        <w:sdtContent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begin"/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instrText xml:space="preserve"> CITATION Ora \l 1046 </w:instrText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separate"/>
          </w:r>
          <w:r w:rsidR="00740B51" w:rsidRPr="00E51857">
            <w:rPr>
              <w:rFonts w:ascii="Arial" w:hAnsi="Arial" w:cs="Arial"/>
              <w:noProof/>
              <w:color w:val="000000" w:themeColor="text1"/>
              <w:lang w:val="pt-BR"/>
            </w:rPr>
            <w:t>(Oracle, s.d.)</w:t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end"/>
          </w:r>
        </w:sdtContent>
      </w:sdt>
      <w:r w:rsidR="00740B51" w:rsidRPr="00740B51">
        <w:rPr>
          <w:rFonts w:ascii="Arial" w:hAnsi="Arial" w:cs="Arial"/>
          <w:color w:val="000000" w:themeColor="text1"/>
          <w:lang w:val="pt-BR"/>
        </w:rPr>
        <w:t>.</w:t>
      </w:r>
      <w:r w:rsidR="00740B51" w:rsidRPr="00740B51">
        <w:rPr>
          <w:rFonts w:ascii="Arial" w:hAnsi="Arial" w:cs="Arial"/>
          <w:color w:val="000000" w:themeColor="text1"/>
          <w:lang w:val="pt-BR"/>
        </w:rPr>
        <w:t xml:space="preserve"> </w:t>
      </w:r>
      <w:r w:rsidRPr="00E51857">
        <w:rPr>
          <w:rFonts w:ascii="Arial" w:hAnsi="Arial" w:cs="Arial"/>
          <w:color w:val="000000" w:themeColor="text1"/>
          <w:lang w:val="pt-BR"/>
        </w:rPr>
        <w:t>O diagrama abaixo ilustra a visão macro da solução.</w:t>
      </w:r>
    </w:p>
    <w:p w14:paraId="5C76D9DA" w14:textId="63FA28C4" w:rsidR="00786AED" w:rsidRPr="00E51857" w:rsidRDefault="00786AED">
      <w:pPr>
        <w:pStyle w:val="Corpodetexto"/>
        <w:rPr>
          <w:rFonts w:ascii="Arial" w:hAnsi="Arial" w:cs="Arial"/>
          <w:color w:val="000000" w:themeColor="text1"/>
          <w:lang w:val="pt-BR"/>
        </w:rPr>
      </w:pPr>
    </w:p>
    <w:p w14:paraId="0F8DF8C0" w14:textId="77777777" w:rsidR="00023765" w:rsidRDefault="00EC3630" w:rsidP="00023765">
      <w:pPr>
        <w:keepNext/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244E7CA9" wp14:editId="6B0EC34D">
            <wp:extent cx="5612130" cy="3215375"/>
            <wp:effectExtent l="0" t="0" r="0" b="0"/>
            <wp:docPr id="1174869934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9934" name="Gráfico 7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B8A9" w14:textId="53E5B6C9" w:rsidR="00585025" w:rsidRPr="00023765" w:rsidRDefault="00023765" w:rsidP="00023765">
      <w:pPr>
        <w:pStyle w:val="Legenda"/>
        <w:rPr>
          <w:rFonts w:ascii="Arial" w:hAnsi="Arial" w:cs="Arial"/>
          <w:b/>
          <w:bCs/>
          <w:color w:val="000000" w:themeColor="text1"/>
          <w:lang w:val="pt-BR"/>
        </w:rPr>
      </w:pPr>
      <w:r w:rsidRPr="00023765">
        <w:rPr>
          <w:lang w:val="pt-BR"/>
        </w:rPr>
        <w:t xml:space="preserve">Figure </w:t>
      </w:r>
      <w:r>
        <w:fldChar w:fldCharType="begin"/>
      </w:r>
      <w:r w:rsidRPr="00023765">
        <w:rPr>
          <w:lang w:val="pt-BR"/>
        </w:rPr>
        <w:instrText xml:space="preserve"> SEQ Figure \* ARABIC </w:instrText>
      </w:r>
      <w:r>
        <w:fldChar w:fldCharType="separate"/>
      </w:r>
      <w:r w:rsidR="0016481D">
        <w:rPr>
          <w:noProof/>
          <w:lang w:val="pt-BR"/>
        </w:rPr>
        <w:t>1</w:t>
      </w:r>
      <w:r>
        <w:fldChar w:fldCharType="end"/>
      </w:r>
      <w:r w:rsidRPr="00023765">
        <w:rPr>
          <w:lang w:val="pt-BR"/>
        </w:rPr>
        <w:t>: Diagrama de Arquitetura - Nível de Contexto</w:t>
      </w:r>
    </w:p>
    <w:p w14:paraId="6F99EE27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1" w:name="arquitetura-proposta"/>
      <w:bookmarkStart w:id="2" w:name="_Toc204626217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Arquitetura Proposta</w:t>
      </w:r>
      <w:bookmarkEnd w:id="2"/>
    </w:p>
    <w:p w14:paraId="7F52484C" w14:textId="2A651260" w:rsidR="00585025" w:rsidRPr="00740B51" w:rsidRDefault="00F10444" w:rsidP="00740B51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E51857">
        <w:rPr>
          <w:rFonts w:ascii="Arial" w:hAnsi="Arial" w:cs="Arial"/>
          <w:color w:val="000000" w:themeColor="text1"/>
          <w:lang w:val="pt-BR"/>
        </w:rPr>
        <w:t>A arquitetura contempla três grandes blocos: o</w:t>
      </w:r>
      <w:r w:rsidR="00D50E03" w:rsidRPr="00E51857">
        <w:rPr>
          <w:rFonts w:ascii="Arial" w:hAnsi="Arial" w:cs="Arial"/>
          <w:color w:val="000000" w:themeColor="text1"/>
          <w:lang w:val="pt-BR"/>
        </w:rPr>
        <w:t xml:space="preserve"> aplicativo</w:t>
      </w:r>
      <w:r w:rsidRPr="00E51857">
        <w:rPr>
          <w:rFonts w:ascii="Arial" w:hAnsi="Arial" w:cs="Arial"/>
          <w:color w:val="000000" w:themeColor="text1"/>
          <w:lang w:val="pt-BR"/>
        </w:rPr>
        <w:t xml:space="preserve"> mobile, o backend de integração e os serviços de inteligência artificial e analytics. O aplicativo, desenvolvido em React Native, </w:t>
      </w:r>
      <w:proofErr w:type="gramStart"/>
      <w:r w:rsidRPr="00E51857">
        <w:rPr>
          <w:rFonts w:ascii="Arial" w:hAnsi="Arial" w:cs="Arial"/>
          <w:color w:val="000000" w:themeColor="text1"/>
          <w:lang w:val="pt-BR"/>
        </w:rPr>
        <w:t>autentica</w:t>
      </w:r>
      <w:proofErr w:type="gramEnd"/>
      <w:r w:rsidRPr="00E51857">
        <w:rPr>
          <w:rFonts w:ascii="Arial" w:hAnsi="Arial" w:cs="Arial"/>
          <w:color w:val="000000" w:themeColor="text1"/>
          <w:lang w:val="pt-BR"/>
        </w:rPr>
        <w:t xml:space="preserve"> os usuários via Auth0 utilizando OAuth2 e JWT. </w:t>
      </w:r>
      <w:r w:rsidR="006B7ABD" w:rsidRPr="00E51857">
        <w:rPr>
          <w:rFonts w:ascii="Arial" w:hAnsi="Arial" w:cs="Arial"/>
          <w:color w:val="000000" w:themeColor="text1"/>
          <w:lang w:val="pt-BR"/>
        </w:rPr>
        <w:t>Okta é ativado, criando uma solicitação de token web JSON (JWT) para entrega de OTP por meio do </w:t>
      </w:r>
      <w:hyperlink r:id="rId14" w:tgtFrame="_blank" w:history="1">
        <w:r w:rsidR="006B7ABD" w:rsidRPr="00E51857">
          <w:rPr>
            <w:rStyle w:val="Hyperlink"/>
            <w:rFonts w:ascii="Arial" w:hAnsi="Arial" w:cs="Arial"/>
            <w:color w:val="000000" w:themeColor="text1"/>
            <w:lang w:val="pt-BR"/>
          </w:rPr>
          <w:t>Amazon API Gateway</w:t>
        </w:r>
      </w:hyperlink>
      <w:r w:rsidR="006B7ABD" w:rsidRPr="00E51857">
        <w:rPr>
          <w:rFonts w:ascii="Arial" w:hAnsi="Arial" w:cs="Arial"/>
          <w:color w:val="000000" w:themeColor="text1"/>
          <w:lang w:val="pt-BR"/>
        </w:rPr>
        <w:t>.</w:t>
      </w:r>
      <w:r w:rsidR="00E51857">
        <w:rPr>
          <w:rFonts w:ascii="Arial" w:hAnsi="Arial" w:cs="Arial"/>
          <w:color w:val="000000" w:themeColor="text1"/>
          <w:lang w:val="pt-BR"/>
        </w:rPr>
        <w:t xml:space="preserve"> </w:t>
      </w:r>
      <w:hyperlink r:id="rId15" w:tgtFrame="_blank" w:history="1">
        <w:r w:rsidR="006B7ABD" w:rsidRPr="00E51857">
          <w:rPr>
            <w:rStyle w:val="Hyperlink"/>
            <w:rFonts w:ascii="Arial" w:hAnsi="Arial" w:cs="Arial"/>
            <w:color w:val="000000" w:themeColor="text1"/>
            <w:lang w:val="pt-BR"/>
          </w:rPr>
          <w:t>O AWS WAF</w:t>
        </w:r>
      </w:hyperlink>
      <w:r w:rsidR="006B7ABD" w:rsidRPr="00E51857">
        <w:rPr>
          <w:rFonts w:ascii="Arial" w:hAnsi="Arial" w:cs="Arial"/>
          <w:color w:val="000000" w:themeColor="text1"/>
          <w:lang w:val="pt-BR"/>
        </w:rPr>
        <w:t xml:space="preserve"> protege o endpoint do API Gateway aplicando regras gerenciadas pela AWS para bloquear tráfego malicioso. Todo o tráfego é filtrado pelas listas de controle de acesso (ACL) da Web do AWS </w:t>
      </w:r>
      <w:proofErr w:type="gramStart"/>
      <w:r w:rsidR="006B7ABD" w:rsidRPr="00E51857">
        <w:rPr>
          <w:rFonts w:ascii="Arial" w:hAnsi="Arial" w:cs="Arial"/>
          <w:color w:val="000000" w:themeColor="text1"/>
          <w:lang w:val="pt-BR"/>
        </w:rPr>
        <w:t>WAF ,</w:t>
      </w:r>
      <w:proofErr w:type="gramEnd"/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e as solicitações consideradas seguras podem passar pelo API </w:t>
      </w:r>
      <w:proofErr w:type="gramStart"/>
      <w:r w:rsidR="006B7ABD" w:rsidRPr="00E51857">
        <w:rPr>
          <w:rFonts w:ascii="Arial" w:hAnsi="Arial" w:cs="Arial"/>
          <w:color w:val="000000" w:themeColor="text1"/>
          <w:lang w:val="pt-BR"/>
        </w:rPr>
        <w:t>Gateway .</w:t>
      </w:r>
      <w:proofErr w:type="gramEnd"/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O API Gateway primeiro recebe a solicitação JWT do Okta. Em seguida, ele invoca uma função personalizada </w:t>
      </w:r>
      <w:hyperlink r:id="rId16" w:tgtFrame="_blank" w:history="1">
        <w:r w:rsidR="006B7ABD" w:rsidRPr="00E51857">
          <w:rPr>
            <w:rStyle w:val="Hyperlink"/>
            <w:rFonts w:ascii="Arial" w:hAnsi="Arial" w:cs="Arial"/>
            <w:color w:val="000000" w:themeColor="text1"/>
            <w:lang w:val="pt-BR"/>
          </w:rPr>
          <w:t>do AWS Lambda</w:t>
        </w:r>
      </w:hyperlink>
      <w:r w:rsidR="006B7ABD" w:rsidRPr="00E51857">
        <w:rPr>
          <w:rFonts w:ascii="Arial" w:hAnsi="Arial" w:cs="Arial"/>
          <w:color w:val="000000" w:themeColor="text1"/>
          <w:lang w:val="pt-BR"/>
        </w:rPr>
        <w:t> que</w:t>
      </w:r>
      <w:r w:rsidR="006B7ABD" w:rsidRPr="006B7ABD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atua como um </w:t>
      </w:r>
      <w:hyperlink r:id="rId17" w:tgtFrame="_blank" w:history="1">
        <w:r w:rsidR="006B7ABD" w:rsidRPr="00E51857">
          <w:rPr>
            <w:rStyle w:val="Hyperlink"/>
            <w:rFonts w:ascii="Arial" w:hAnsi="Arial" w:cs="Arial"/>
            <w:color w:val="000000" w:themeColor="text1"/>
            <w:lang w:val="pt-BR"/>
          </w:rPr>
          <w:t>autorizador</w:t>
        </w:r>
      </w:hyperlink>
      <w:r w:rsidR="006B7ABD" w:rsidRPr="00E51857">
        <w:rPr>
          <w:rFonts w:ascii="Arial" w:hAnsi="Arial" w:cs="Arial"/>
          <w:color w:val="000000" w:themeColor="text1"/>
          <w:lang w:val="pt-BR"/>
        </w:rPr>
        <w:t> para validar o token JWT antes de permitir que a solicitação prossiga.</w:t>
      </w:r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O autorizador Lambda é responsável por verificar a integridade e a validade do token JWT. Ele realiza diversas verificações para garantir que o token seja válido.</w:t>
      </w:r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O autorizador do Lambda verifica o token JWT decodificando-o, usando a chave pública do Okta para validar a assinatura e verificando o tempo de expiração.</w:t>
      </w:r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Se o token JWT for válido, o autorizador do Lambda cria uma política </w:t>
      </w:r>
      <w:hyperlink r:id="rId18" w:tgtFrame="_blank" w:history="1">
        <w:r w:rsidR="006B7ABD" w:rsidRPr="00E51857">
          <w:rPr>
            <w:rStyle w:val="Hyperlink"/>
            <w:rFonts w:ascii="Arial" w:hAnsi="Arial" w:cs="Arial"/>
            <w:color w:val="000000" w:themeColor="text1"/>
            <w:lang w:val="pt-BR"/>
          </w:rPr>
          <w:t>do AWS Identity and Access Management</w:t>
        </w:r>
      </w:hyperlink>
      <w:r w:rsidR="006B7ABD" w:rsidRPr="00E51857">
        <w:rPr>
          <w:rFonts w:ascii="Arial" w:hAnsi="Arial" w:cs="Arial"/>
          <w:color w:val="000000" w:themeColor="text1"/>
          <w:lang w:val="pt-BR"/>
        </w:rPr>
        <w:t> (IAM) que concede permissão para invocar o API Gateway.</w:t>
      </w:r>
      <w:r w:rsidR="006B7ABD" w:rsidRPr="00E51857">
        <w:rPr>
          <w:rFonts w:ascii="Arial" w:hAnsi="Arial" w:cs="Arial"/>
          <w:color w:val="000000" w:themeColor="text1"/>
          <w:lang w:val="pt-BR"/>
        </w:rPr>
        <w:t xml:space="preserve"> </w:t>
      </w:r>
      <w:r w:rsidR="006B7ABD" w:rsidRPr="00E51857">
        <w:rPr>
          <w:rFonts w:ascii="Arial" w:hAnsi="Arial" w:cs="Arial"/>
          <w:color w:val="000000" w:themeColor="text1"/>
          <w:lang w:val="pt-BR"/>
        </w:rPr>
        <w:t>O autorizador do Lambda retorna a política do IAM para o API Gateway. Se o acesso for permitido, o API Gateway é invocado e encaminha a solicitação para </w:t>
      </w:r>
      <w:r w:rsidRPr="00E51857">
        <w:rPr>
          <w:rFonts w:ascii="Arial" w:hAnsi="Arial" w:cs="Arial"/>
          <w:color w:val="000000" w:themeColor="text1"/>
          <w:lang w:val="pt-BR"/>
        </w:rPr>
        <w:t>backend em Node.js</w:t>
      </w:r>
      <w:r w:rsidR="00740B51">
        <w:rPr>
          <w:rFonts w:ascii="Arial" w:hAnsi="Arial" w:cs="Arial"/>
          <w:color w:val="000000" w:themeColor="text1"/>
          <w:lang w:val="pt-BR"/>
        </w:rPr>
        <w:t xml:space="preserve"> </w:t>
      </w:r>
      <w:sdt>
        <w:sdtPr>
          <w:rPr>
            <w:rFonts w:ascii="Arial" w:hAnsi="Arial" w:cs="Arial"/>
            <w:color w:val="000000" w:themeColor="text1"/>
            <w:lang w:val="pt-BR"/>
          </w:rPr>
          <w:id w:val="208158925"/>
          <w:citation/>
        </w:sdtPr>
        <w:sdtContent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begin"/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instrText xml:space="preserve"> CITATION AWS25 \l 1046 </w:instrText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separate"/>
          </w:r>
          <w:r w:rsidR="00740B51" w:rsidRPr="00E51857">
            <w:rPr>
              <w:rFonts w:ascii="Arial" w:hAnsi="Arial" w:cs="Arial"/>
              <w:noProof/>
              <w:color w:val="000000" w:themeColor="text1"/>
              <w:lang w:val="pt-BR"/>
            </w:rPr>
            <w:t>(AWS, 2025)</w:t>
          </w:r>
          <w:r w:rsidR="00740B51">
            <w:rPr>
              <w:rFonts w:ascii="Arial" w:hAnsi="Arial" w:cs="Arial"/>
              <w:color w:val="000000" w:themeColor="text1"/>
              <w:lang w:val="pt-BR"/>
            </w:rPr>
            <w:fldChar w:fldCharType="end"/>
          </w:r>
        </w:sdtContent>
      </w:sdt>
      <w:r w:rsidRPr="00E51857">
        <w:rPr>
          <w:rFonts w:ascii="Arial" w:hAnsi="Arial" w:cs="Arial"/>
          <w:color w:val="000000" w:themeColor="text1"/>
          <w:lang w:val="pt-BR"/>
        </w:rPr>
        <w:t xml:space="preserve">, </w:t>
      </w:r>
      <w:r w:rsidR="006B7ABD" w:rsidRPr="00E51857">
        <w:rPr>
          <w:rFonts w:ascii="Arial" w:hAnsi="Arial" w:cs="Arial"/>
          <w:color w:val="000000" w:themeColor="text1"/>
          <w:lang w:val="pt-BR"/>
        </w:rPr>
        <w:t xml:space="preserve">que </w:t>
      </w:r>
      <w:r w:rsidRPr="00E51857">
        <w:rPr>
          <w:rFonts w:ascii="Arial" w:hAnsi="Arial" w:cs="Arial"/>
          <w:color w:val="000000" w:themeColor="text1"/>
          <w:lang w:val="pt-BR"/>
        </w:rPr>
        <w:t>encaminha as chamadas para os serviços apropriados.</w:t>
      </w:r>
    </w:p>
    <w:p w14:paraId="12AC8ED0" w14:textId="1CC08B0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 xml:space="preserve">Na nuvem AWS, o Amazon API Gateway roteia as solicitações para </w:t>
      </w:r>
      <w:r w:rsidR="00D532D1">
        <w:rPr>
          <w:rFonts w:ascii="Arial" w:hAnsi="Arial" w:cs="Arial"/>
          <w:color w:val="000000" w:themeColor="text1"/>
          <w:lang w:val="pt-BR"/>
        </w:rPr>
        <w:t>backend</w:t>
      </w:r>
      <w:r w:rsidRPr="00953C92">
        <w:rPr>
          <w:rFonts w:ascii="Arial" w:hAnsi="Arial" w:cs="Arial"/>
          <w:color w:val="000000" w:themeColor="text1"/>
          <w:lang w:val="pt-BR"/>
        </w:rPr>
        <w:t>, que por sua vez</w:t>
      </w:r>
      <w:r w:rsidR="00D532D1">
        <w:rPr>
          <w:rFonts w:ascii="Arial" w:hAnsi="Arial" w:cs="Arial"/>
          <w:color w:val="000000" w:themeColor="text1"/>
          <w:lang w:val="pt-BR"/>
        </w:rPr>
        <w:t xml:space="preserve"> acionar o orquestrador e</w:t>
      </w:r>
      <w:r w:rsidRPr="00953C92">
        <w:rPr>
          <w:rFonts w:ascii="Arial" w:hAnsi="Arial" w:cs="Arial"/>
          <w:color w:val="000000" w:themeColor="text1"/>
          <w:lang w:val="pt-BR"/>
        </w:rPr>
        <w:t xml:space="preserve"> acessam os dados no Amazon Redshift, </w:t>
      </w:r>
      <w:r w:rsidRPr="00953C92">
        <w:rPr>
          <w:rFonts w:ascii="Arial" w:hAnsi="Arial" w:cs="Arial"/>
          <w:color w:val="000000" w:themeColor="text1"/>
          <w:lang w:val="pt-BR"/>
        </w:rPr>
        <w:lastRenderedPageBreak/>
        <w:t>invocam processamentos no SageMaker e consultam a IA generativa via Amazon Q Business. Documentos regulatórios armazenados na OCI são integrados ao pipeline de embeddings através do Apache Airflow, garantindo atualização constante da base de conhecimento. Para a visualização dos insights, utiliza-se o Amazon QuickSight com dashboards personalizados, embutidos no app mobile.</w:t>
      </w:r>
    </w:p>
    <w:p w14:paraId="00EF7724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Abaixo, o diagrama visual representa essa arquitetura.</w:t>
      </w:r>
    </w:p>
    <w:p w14:paraId="1D921332" w14:textId="77777777" w:rsidR="00023765" w:rsidRDefault="00023765" w:rsidP="00023765">
      <w:pPr>
        <w:keepNext/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10DDAE1" wp14:editId="734188C8">
            <wp:extent cx="5612130" cy="2845435"/>
            <wp:effectExtent l="0" t="0" r="0" b="0"/>
            <wp:docPr id="856533607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3607" name="Gráfico 856533607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8AA" w14:textId="36BE3F2F" w:rsidR="00585025" w:rsidRPr="00023765" w:rsidRDefault="00023765" w:rsidP="00023765">
      <w:pPr>
        <w:pStyle w:val="Legenda"/>
        <w:rPr>
          <w:rFonts w:ascii="Arial" w:hAnsi="Arial" w:cs="Arial"/>
          <w:color w:val="000000" w:themeColor="text1"/>
          <w:lang w:val="pt-BR"/>
        </w:rPr>
      </w:pPr>
      <w:r w:rsidRPr="00023765">
        <w:rPr>
          <w:lang w:val="pt-BR"/>
        </w:rPr>
        <w:t xml:space="preserve">Figure </w:t>
      </w:r>
      <w:r>
        <w:fldChar w:fldCharType="begin"/>
      </w:r>
      <w:r w:rsidRPr="00023765">
        <w:rPr>
          <w:lang w:val="pt-BR"/>
        </w:rPr>
        <w:instrText xml:space="preserve"> SEQ Figure \* ARABIC </w:instrText>
      </w:r>
      <w:r>
        <w:fldChar w:fldCharType="separate"/>
      </w:r>
      <w:r w:rsidR="0016481D">
        <w:rPr>
          <w:noProof/>
          <w:lang w:val="pt-BR"/>
        </w:rPr>
        <w:t>2</w:t>
      </w:r>
      <w:r>
        <w:fldChar w:fldCharType="end"/>
      </w:r>
      <w:r w:rsidRPr="00023765">
        <w:rPr>
          <w:lang w:val="pt-BR"/>
        </w:rPr>
        <w:t>: Diagrama de Arquitetura - Nível de Contêineres</w:t>
      </w:r>
    </w:p>
    <w:p w14:paraId="39E12616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3" w:name="estratégia-de-ia-generativa"/>
      <w:bookmarkStart w:id="4" w:name="_Toc204626218"/>
      <w:bookmarkEnd w:id="1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Estratégia de IA Generativa</w:t>
      </w:r>
      <w:bookmarkEnd w:id="4"/>
    </w:p>
    <w:p w14:paraId="0D7EFC3A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A abordagem central da solução é baseada em RAG (Retrieval-Augmented Generation). Por meio dessa técnica, documentos internos (como PDFs, XMLs e contratos) são vetorizados e armazenados como embeddings. Esses vetores são utilizados para enriquecer os prompts enviados ao Amazon Q Business, que gera respostas contextuais e personalizadas para cada cliente.</w:t>
      </w:r>
    </w:p>
    <w:p w14:paraId="5B9EF591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A execução desse processo envolve uma esteira de dados orquestrada com Apache Airflow, que coleta e transforma dados tanto da AWS quanto da Oracle Cloud. O modelo gerador, hospedado no Q Business, recebe entradas compostas por informações transacionais, perfis de cliente e conteúdos regulatórios, e devolve insights em linguagem natural.</w:t>
      </w:r>
    </w:p>
    <w:p w14:paraId="7C3F93DD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Para garantir a reprodutibilidade, cada insight gerado é registrado com um identificador único, contendo a versão do modelo, os dados de entrada e o prompt utilizado. Esses registros são armazenados no Amazon S3 e auditados via CloudWatch e CloudTrail.</w:t>
      </w:r>
    </w:p>
    <w:p w14:paraId="2E187D79" w14:textId="4F662AF8" w:rsidR="00585025" w:rsidRPr="00953C92" w:rsidRDefault="00585025">
      <w:pPr>
        <w:rPr>
          <w:rFonts w:ascii="Arial" w:hAnsi="Arial" w:cs="Arial"/>
          <w:color w:val="000000" w:themeColor="text1"/>
        </w:rPr>
      </w:pPr>
    </w:p>
    <w:p w14:paraId="7C924BEB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5" w:name="segurança-e-governança"/>
      <w:bookmarkStart w:id="6" w:name="_Toc204626219"/>
      <w:bookmarkEnd w:id="3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lastRenderedPageBreak/>
        <w:t>Segurança e Governança</w:t>
      </w:r>
      <w:bookmarkEnd w:id="6"/>
    </w:p>
    <w:p w14:paraId="137762B8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A segurança é tratada de forma robusta com autenticação centralizada via Auth0. Cada sessão gera um JWT que é validado no backend antes de qualquer operação. A AWS aplica políticas de IAM específicas para limitar o acesso aos dados de acordo com o perfil do usuário.</w:t>
      </w:r>
    </w:p>
    <w:p w14:paraId="6612F97E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Na camada de visualização, o Amazon QuickSight aplica controle de acesso por linha (Row-Level Security), garantindo que os dashboards exibam apenas informações pertinentes ao usuário autenticado. Toda atividade é registrada, permitindo rastreamento completo de cada insight gerado e exibido.</w:t>
      </w:r>
    </w:p>
    <w:p w14:paraId="00FA5003" w14:textId="168F5D45" w:rsidR="00585025" w:rsidRPr="00953C92" w:rsidRDefault="00585025">
      <w:pPr>
        <w:rPr>
          <w:rFonts w:ascii="Arial" w:hAnsi="Arial" w:cs="Arial"/>
          <w:color w:val="000000" w:themeColor="text1"/>
        </w:rPr>
      </w:pPr>
    </w:p>
    <w:p w14:paraId="1DDC3286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7" w:name="exemplo-de-insight-e-aplicação-prática"/>
      <w:bookmarkStart w:id="8" w:name="_Toc204626220"/>
      <w:bookmarkEnd w:id="5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Exemplo de Insight e Aplicação Prática</w:t>
      </w:r>
      <w:bookmarkEnd w:id="8"/>
    </w:p>
    <w:p w14:paraId="238AF156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Um exemplo representativo do tipo de insight gerado seria:</w:t>
      </w:r>
    </w:p>
    <w:p w14:paraId="24592721" w14:textId="77777777" w:rsidR="00585025" w:rsidRPr="00953C92" w:rsidRDefault="00F10444">
      <w:pPr>
        <w:pStyle w:val="Textoembloc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“Com base nos seus gastos médios dos últimos 6 meses, você pode economizar até R$ 250/mês ao consolidar seus investimentos em fundos isentos. Em setembro, sua previsão de gastos é de R$ 7.430, com destaque em viagens e alimentação.”</w:t>
      </w:r>
    </w:p>
    <w:p w14:paraId="0B3EE5A3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Este texto foi produzido a partir das transações armazenadas no Redshift, cruzadas com documentos de fundos disponíveis na Oracle Cloud e regras de recomendação internas. O insight é apresentado em uma seção dedicada do aplicativo chamada “Insights Inteligentes”, onde também são embutidos gráficos do Amazon QuickSight com a projeção de gastos futuros.</w:t>
      </w:r>
    </w:p>
    <w:p w14:paraId="06FC425F" w14:textId="7649C9C5" w:rsidR="00585025" w:rsidRPr="00953C92" w:rsidRDefault="00585025">
      <w:pPr>
        <w:rPr>
          <w:rFonts w:ascii="Arial" w:hAnsi="Arial" w:cs="Arial"/>
          <w:color w:val="000000" w:themeColor="text1"/>
        </w:rPr>
      </w:pPr>
    </w:p>
    <w:p w14:paraId="168AEF6C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9" w:name="X99a501f9eefbef23662dcadd4583b8e09fc9ffc"/>
      <w:bookmarkStart w:id="10" w:name="_Toc204626221"/>
      <w:bookmarkEnd w:id="7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Avaliação Comparativa: Amazon Q Business vs AWS Bedrock</w:t>
      </w:r>
      <w:bookmarkEnd w:id="10"/>
    </w:p>
    <w:p w14:paraId="6B0FC734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Durante a definição da arquitetura, foi considerada a possibilidade de utilizar tanto o Amazon Q Business quanto o AWS Bedrock como base para a IA generativa. Ambos os serviços oferecem vantagens relevantes, mas com características distintas.</w:t>
      </w:r>
    </w:p>
    <w:p w14:paraId="575A0A97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O Amazon Q Business se destaca pela entrega rápida e baixo esforço de configuração, oferecendo integração nativa com IAM, RAG simplificado por meio de bases de conhecimento (Knowledge Bases) e conectores empresariais prontos. Ele proporciona rastreabilidade automática dos insights e pode ser incorporado facilmente em ambientes de produção com foco em governança e conformidade.</w:t>
      </w:r>
    </w:p>
    <w:p w14:paraId="34552C48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Por outro lado, o AWS Bedrock é mais indicado em cenários onde a personalização é um fator crítico. Ele permite o uso de múltiplos modelos de linguagem (Claude, Mistral, Llama, Titan etc.), com liberdade total para orquestrar o pipeline de RAG, criar prompts dinâmicos, e construir experiências customizadas de geração de conteúdo. Em contrapartida, sua adoção exige maior esforço de desenvolvimento e governança personalizada.</w:t>
      </w:r>
    </w:p>
    <w:p w14:paraId="42908F70" w14:textId="77777777" w:rsidR="00585025" w:rsidRPr="00953C92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lastRenderedPageBreak/>
        <w:t xml:space="preserve">No contexto do NexoBank, optamos por iniciar a implementação com o Amazon Q Business, considerando sua rápida integração, baixo custo operacional e funcionalidades de rastreabilidade prontas para produção. Esta escolha não impede, no entanto, uma evolução futura para o AWS Bedrock caso o projeto demande maior flexibilidade na geração de texto, múltiplos modelos ou prompts mais complexos. Essa abordagem incremental garante velocidade de entrega no curto prazo, sem comprometer a escalabilidade e sofisticação </w:t>
      </w:r>
      <w:r w:rsidRPr="00953C92">
        <w:rPr>
          <w:rFonts w:ascii="Arial" w:hAnsi="Arial" w:cs="Arial"/>
          <w:color w:val="000000" w:themeColor="text1"/>
          <w:lang w:val="pt-BR"/>
        </w:rPr>
        <w:t>futuras da solução.</w:t>
      </w:r>
    </w:p>
    <w:p w14:paraId="3EDB87E4" w14:textId="70A7F408" w:rsidR="00585025" w:rsidRPr="00953C92" w:rsidRDefault="00585025">
      <w:pPr>
        <w:rPr>
          <w:rFonts w:ascii="Arial" w:hAnsi="Arial" w:cs="Arial"/>
          <w:color w:val="000000" w:themeColor="text1"/>
        </w:rPr>
      </w:pPr>
    </w:p>
    <w:p w14:paraId="06F90542" w14:textId="77777777" w:rsidR="00585025" w:rsidRPr="006936A4" w:rsidRDefault="00F10444">
      <w:pPr>
        <w:pStyle w:val="Ttulo3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bookmarkStart w:id="11" w:name="considerações-finais"/>
      <w:bookmarkStart w:id="12" w:name="_Toc204626222"/>
      <w:bookmarkEnd w:id="9"/>
      <w:r w:rsidRPr="006936A4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Considerações Finais</w:t>
      </w:r>
      <w:bookmarkEnd w:id="12"/>
    </w:p>
    <w:p w14:paraId="1A4B56C6" w14:textId="77777777" w:rsidR="00585025" w:rsidRPr="00953C92" w:rsidRDefault="00F10444">
      <w:pPr>
        <w:pStyle w:val="FirstParagraph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A solução proposta combina o poder da IA generativa com práticas sólidas de arquitetura em nuvem, garantindo segurança, escalabilidade e rastreabilidade. A integração entre AWS e OCI foi cuidadosamente planejada para respeitar o legado da empresa, sem comprometer a experiência do cliente. A escolha pelo Amazon Q Business e QuickSight permite acelerar o time-to-market mantendo conformidade e controle sobre os dados.</w:t>
      </w:r>
    </w:p>
    <w:p w14:paraId="574C9A55" w14:textId="77777777" w:rsidR="00585025" w:rsidRDefault="00F10444">
      <w:pPr>
        <w:pStyle w:val="Corpodetexto"/>
        <w:rPr>
          <w:rFonts w:ascii="Arial" w:hAnsi="Arial" w:cs="Arial"/>
          <w:color w:val="000000" w:themeColor="text1"/>
          <w:lang w:val="pt-BR"/>
        </w:rPr>
      </w:pPr>
      <w:r w:rsidRPr="00953C92">
        <w:rPr>
          <w:rFonts w:ascii="Arial" w:hAnsi="Arial" w:cs="Arial"/>
          <w:color w:val="000000" w:themeColor="text1"/>
          <w:lang w:val="pt-BR"/>
        </w:rPr>
        <w:t>Este projeto está alinhado com a missão do NexoBank de oferecer experiências personalizadas e inteligentes para seus clientes, utilizando o que há de mais moderno em tecnologias de nuvem e inteligência artificial.</w:t>
      </w:r>
    </w:p>
    <w:sdt>
      <w:sdtPr>
        <w:rPr>
          <w:lang w:val="pt-BR"/>
        </w:rPr>
        <w:id w:val="-32859508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  <w:lang w:val="en-US"/>
        </w:rPr>
      </w:sdtEndPr>
      <w:sdtContent>
        <w:p w14:paraId="2930C95F" w14:textId="007A7DB8" w:rsidR="00740B51" w:rsidRPr="00740B51" w:rsidRDefault="00740B51">
          <w:pPr>
            <w:pStyle w:val="Ttulo1"/>
            <w:rPr>
              <w:lang w:val="pt-BR"/>
            </w:rPr>
          </w:pPr>
          <w:r>
            <w:rPr>
              <w:lang w:val="pt-BR"/>
            </w:rPr>
            <w:t>Referências</w:t>
          </w:r>
        </w:p>
        <w:sdt>
          <w:sdtPr>
            <w:id w:val="-573587230"/>
            <w:bibliography/>
          </w:sdtPr>
          <w:sdtContent>
            <w:p w14:paraId="5DA2E1C7" w14:textId="77777777" w:rsidR="00740B51" w:rsidRDefault="00740B51" w:rsidP="00740B51">
              <w:pPr>
                <w:pStyle w:val="Bibliografia"/>
                <w:ind w:left="720" w:hanging="720"/>
                <w:rPr>
                  <w:noProof/>
                  <w:lang w:val="pt-BR"/>
                </w:rPr>
              </w:pPr>
              <w:r>
                <w:fldChar w:fldCharType="begin"/>
              </w:r>
              <w:r w:rsidRPr="00740B51">
                <w:rPr>
                  <w:lang w:val="pt-BR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pt-BR"/>
                </w:rPr>
                <w:t xml:space="preserve">AWS. (2025). </w:t>
              </w:r>
              <w:r>
                <w:rPr>
                  <w:i/>
                  <w:iCs/>
                  <w:noProof/>
                  <w:lang w:val="pt-BR"/>
                </w:rPr>
                <w:t>autenticação Okta na AWS</w:t>
              </w:r>
              <w:r>
                <w:rPr>
                  <w:noProof/>
                  <w:lang w:val="pt-BR"/>
                </w:rPr>
                <w:t>. Fonte: https://aws.amazon.com/pt/solutions/guidance/okta-phone-based-multi-factor-authentication-on-aws/</w:t>
              </w:r>
            </w:p>
            <w:p w14:paraId="4CBC805C" w14:textId="77777777" w:rsidR="00740B51" w:rsidRDefault="00740B51" w:rsidP="00740B51">
              <w:pPr>
                <w:pStyle w:val="Bibliografia"/>
                <w:ind w:left="720" w:hanging="720"/>
                <w:rPr>
                  <w:noProof/>
                  <w:lang w:val="pt-BR"/>
                </w:rPr>
              </w:pPr>
              <w:r>
                <w:rPr>
                  <w:noProof/>
                  <w:lang w:val="pt-BR"/>
                </w:rPr>
                <w:t xml:space="preserve">Oracle. (s.d.). </w:t>
              </w:r>
              <w:r>
                <w:rPr>
                  <w:i/>
                  <w:iCs/>
                  <w:noProof/>
                  <w:lang w:val="pt-BR"/>
                </w:rPr>
                <w:t xml:space="preserve">conectividade multicloud entre a Oracle Cloud Infrastructure (OCI) e a Amazon Web Services (AWS) </w:t>
              </w:r>
              <w:r>
                <w:rPr>
                  <w:noProof/>
                  <w:lang w:val="pt-BR"/>
                </w:rPr>
                <w:t>. Fonte: https://docs.oracle.com/pt-br/solutions/learn-about-multicloud-arch-framework/cloud-network-access1.html#GUID-99AD66BE-CD61-4D05-8CD3-24F7D66F41F8</w:t>
              </w:r>
            </w:p>
            <w:p w14:paraId="4FAA0206" w14:textId="456CF832" w:rsidR="00740B51" w:rsidRDefault="00740B51" w:rsidP="00740B5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C62734E" w14:textId="77777777" w:rsidR="00E51857" w:rsidRDefault="00E51857">
      <w:pPr>
        <w:pStyle w:val="Corpodetexto"/>
        <w:rPr>
          <w:rFonts w:ascii="Arial" w:hAnsi="Arial" w:cs="Arial"/>
          <w:color w:val="000000" w:themeColor="text1"/>
          <w:lang w:val="pt-BR"/>
        </w:rPr>
      </w:pPr>
    </w:p>
    <w:bookmarkEnd w:id="11"/>
    <w:sectPr w:rsidR="00E51857">
      <w:headerReference w:type="default" r:id="rId21"/>
      <w:footerReference w:type="default" r:id="rId22"/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D8ED6" w14:textId="77777777" w:rsidR="006936A4" w:rsidRDefault="006936A4" w:rsidP="006936A4">
      <w:pPr>
        <w:spacing w:after="0"/>
      </w:pPr>
      <w:r>
        <w:separator/>
      </w:r>
    </w:p>
  </w:endnote>
  <w:endnote w:type="continuationSeparator" w:id="0">
    <w:p w14:paraId="5AECB5F6" w14:textId="77777777" w:rsidR="006936A4" w:rsidRDefault="006936A4" w:rsidP="006936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55171740"/>
      <w:docPartObj>
        <w:docPartGallery w:val="Page Numbers (Bottom of Page)"/>
        <w:docPartUnique/>
      </w:docPartObj>
    </w:sdtPr>
    <w:sdtContent>
      <w:p w14:paraId="3A0862B6" w14:textId="77777777" w:rsidR="00937013" w:rsidRDefault="00937013">
        <w:pPr>
          <w:pStyle w:val="Rodap"/>
          <w:jc w:val="center"/>
        </w:pPr>
      </w:p>
      <w:p w14:paraId="5D8E3BDD" w14:textId="649B6F44" w:rsidR="00937013" w:rsidRDefault="0093701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95EAC25" w14:textId="77777777" w:rsidR="00937013" w:rsidRDefault="009370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48C27" w14:textId="77777777" w:rsidR="006936A4" w:rsidRDefault="006936A4" w:rsidP="006936A4">
      <w:pPr>
        <w:spacing w:after="0"/>
      </w:pPr>
      <w:r>
        <w:separator/>
      </w:r>
    </w:p>
  </w:footnote>
  <w:footnote w:type="continuationSeparator" w:id="0">
    <w:p w14:paraId="5CFB32C2" w14:textId="77777777" w:rsidR="006936A4" w:rsidRDefault="006936A4" w:rsidP="006936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BBFA6" w14:textId="798219BF" w:rsidR="00937013" w:rsidRDefault="00937013" w:rsidP="00937013">
    <w:pPr>
      <w:pStyle w:val="Cabealho"/>
      <w:jc w:val="center"/>
    </w:pPr>
  </w:p>
  <w:p w14:paraId="13381902" w14:textId="77777777" w:rsidR="006936A4" w:rsidRDefault="006936A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05AF09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6FF25FC0"/>
    <w:multiLevelType w:val="multilevel"/>
    <w:tmpl w:val="2646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2523242">
    <w:abstractNumId w:val="0"/>
  </w:num>
  <w:num w:numId="2" w16cid:durableId="1334800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5025"/>
    <w:rsid w:val="00023765"/>
    <w:rsid w:val="000B7B00"/>
    <w:rsid w:val="00101023"/>
    <w:rsid w:val="0016481D"/>
    <w:rsid w:val="003B1E24"/>
    <w:rsid w:val="00585025"/>
    <w:rsid w:val="006936A4"/>
    <w:rsid w:val="006B7ABD"/>
    <w:rsid w:val="00740B51"/>
    <w:rsid w:val="00786AED"/>
    <w:rsid w:val="007A334A"/>
    <w:rsid w:val="00937013"/>
    <w:rsid w:val="00953C92"/>
    <w:rsid w:val="00992BE1"/>
    <w:rsid w:val="00BD64B5"/>
    <w:rsid w:val="00D50E03"/>
    <w:rsid w:val="00D532D1"/>
    <w:rsid w:val="00E51857"/>
    <w:rsid w:val="00EC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CD720"/>
  <w15:docId w15:val="{7B9FB8F5-4BB4-411A-AE51-E490840FA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3" w:uiPriority="39"/>
    <w:lsdException w:name="header" w:uiPriority="9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uiPriority w:val="99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Cabealho">
    <w:name w:val="header"/>
    <w:basedOn w:val="Normal"/>
    <w:link w:val="CabealhoChar"/>
    <w:uiPriority w:val="99"/>
    <w:rsid w:val="006936A4"/>
    <w:pPr>
      <w:tabs>
        <w:tab w:val="center" w:pos="4419"/>
        <w:tab w:val="right" w:pos="8838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6936A4"/>
  </w:style>
  <w:style w:type="paragraph" w:styleId="Rodap">
    <w:name w:val="footer"/>
    <w:basedOn w:val="Normal"/>
    <w:link w:val="RodapChar"/>
    <w:uiPriority w:val="99"/>
    <w:rsid w:val="006936A4"/>
    <w:pPr>
      <w:tabs>
        <w:tab w:val="center" w:pos="4419"/>
        <w:tab w:val="right" w:pos="8838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6936A4"/>
  </w:style>
  <w:style w:type="paragraph" w:styleId="Sumrio3">
    <w:name w:val="toc 3"/>
    <w:basedOn w:val="Normal"/>
    <w:next w:val="Normal"/>
    <w:autoRedefine/>
    <w:uiPriority w:val="39"/>
    <w:rsid w:val="006936A4"/>
    <w:pPr>
      <w:spacing w:after="100"/>
      <w:ind w:left="480"/>
    </w:pPr>
  </w:style>
  <w:style w:type="character" w:styleId="MenoPendente">
    <w:name w:val="Unresolved Mention"/>
    <w:basedOn w:val="Fontepargpadro"/>
    <w:uiPriority w:val="99"/>
    <w:semiHidden/>
    <w:unhideWhenUsed/>
    <w:rsid w:val="006B7ABD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rsid w:val="00740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aws.amazon.com/ia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aws.amazon.com/apigateway/latest/developerguide/apigateway-use-lambda-authorize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ws.amazon.com/lambda/" TargetMode="External"/><Relationship Id="rId20" Type="http://schemas.openxmlformats.org/officeDocument/2006/relationships/image" Target="media/image8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waf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aws.amazon.com/api-gateway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AWS25</b:Tag>
    <b:SourceType>InternetSite</b:SourceType>
    <b:Guid>{43EB3B79-ED9A-44AC-AFF6-346C079F3276}</b:Guid>
    <b:Title>autenticação Okta na AWS</b:Title>
    <b:Year>2025</b:Year>
    <b:Author>
      <b:Author>
        <b:NameList>
          <b:Person>
            <b:Last>AWS</b:Last>
          </b:Person>
        </b:NameList>
      </b:Author>
    </b:Author>
    <b:URL>https://aws.amazon.com/pt/solutions/guidance/okta-phone-based-multi-factor-authentication-on-aws/</b:URL>
    <b:RefOrder>2</b:RefOrder>
  </b:Source>
  <b:Source>
    <b:Tag>Ora</b:Tag>
    <b:SourceType>InternetSite</b:SourceType>
    <b:Guid>{7C54BB8F-1800-470C-95A4-020A2A8DD2B2}</b:Guid>
    <b:Author>
      <b:Author>
        <b:NameList>
          <b:Person>
            <b:Last>Oracle</b:Last>
          </b:Person>
        </b:NameList>
      </b:Author>
    </b:Author>
    <b:Title>conectividade multicloud entre a Oracle Cloud Infrastructure (OCI) e a Amazon Web Services (AWS) </b:Title>
    <b:URL>https://docs.oracle.com/pt-br/solutions/learn-about-multicloud-arch-framework/cloud-network-access1.html#GUID-99AD66BE-CD61-4D05-8CD3-24F7D66F41F8</b:URL>
    <b:RefOrder>1</b:RefOrder>
  </b:Source>
</b:Sources>
</file>

<file path=customXml/itemProps1.xml><?xml version="1.0" encoding="utf-8"?>
<ds:datastoreItem xmlns:ds="http://schemas.openxmlformats.org/officeDocument/2006/customXml" ds:itemID="{654C7149-EB39-40A0-8884-2346AED3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Jhonat (Heberson) Avelino (De) Souza</cp:lastModifiedBy>
  <cp:revision>10</cp:revision>
  <cp:lastPrinted>2025-07-29T05:01:00Z</cp:lastPrinted>
  <dcterms:created xsi:type="dcterms:W3CDTF">2025-07-28T23:07:00Z</dcterms:created>
  <dcterms:modified xsi:type="dcterms:W3CDTF">2025-07-29T05:11:00Z</dcterms:modified>
</cp:coreProperties>
</file>