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58B2A"/>
          <w:sz w:val="18"/>
          <w:szCs w:val="18"/>
        </w:rPr>
        <w:t xml:space="preserve">RELATÓRIO DE ANDAMENTO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2545"/>
          <w:sz w:val="40"/>
          <w:szCs w:val="40"/>
        </w:rPr>
        <w:t xml:space="preserve">AiLogic Hub — Status das Adequações Pré-Testes Finais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Resposta ao Relatório Técnico de 28/07/2026. Situação de cada um dos 13 itens, roteiro de validação em produção e análise de decisão da assinatura digital.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3341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HTML + Vercel Functions (Node) + Postgres + Supabase Auth.  </w:t>
      </w:r>
      <w:r>
        <w:rPr>
          <w:rFonts w:ascii="Calibri" w:cs="Calibri" w:eastAsia="Calibri" w:hAnsi="Calibri"/>
          <w:b/>
          <w:bCs/>
          <w:color w:val="33415C"/>
          <w:sz w:val="19"/>
          <w:szCs w:val="19"/>
        </w:rPr>
        <w:t xml:space="preserve">Entrega: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branches por fase integradas na main → deploy automático na Vercel.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Progresso geral: </w:t>
      </w:r>
      <w:r>
        <w:rPr>
          <w:rFonts w:ascii="Calibri" w:cs="Calibri" w:eastAsia="Calibri" w:hAnsi="Calibri"/>
          <w:b/>
          <w:bCs/>
          <w:color w:val="128A5A"/>
          <w:sz w:val="22"/>
          <w:szCs w:val="22"/>
        </w:rPr>
        <w:t xml:space="preserve">10 de 13 itens implementados e em produção.</w:t>
      </w:r>
    </w:p>
    <w:tbl>
      <w:tblPr>
        <w:tblW w:type="dxa" w:w="9360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6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No ar (10)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01, 02, 03, 04, 05, 06, 07, 08, 10, 13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9770A"/>
                <w:sz w:val="21"/>
                <w:szCs w:val="21"/>
              </w:rPr>
              <w:t xml:space="preserve">Aguarda ação (2)</w:t>
            </w:r>
          </w:p>
        </w:tc>
        <w:tc>
          <w:tcPr>
            <w:tcW w:type="dxa" w:w="67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09 (regras de negócio), 11 (operação de banco)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Decisão (1)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12 (assinatura digital)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Observação: 10 itens de código estão entregues. Os 3 restantes não são "mais código a escrever" — são uma decisão (12), uma operação de banco (11) e um módulo que aguarda regras de negócio (09).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Parte 1 · Situação dos itens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Fase 1 — Estrutura &amp; Vínculos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01 · Vincular gestor responsável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Campo obrigatório "Gestor responsável" na criação/edição, com busca de usuários ativos (autocomplete) e opção de convidar novo gestor (gera login + senha temporária). Vínculo persistente via gestor_id; exibido no detalhe.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imobiliarias.html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api/data.js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02 · Incluir corretores na imobiliária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Seção "Corretores" com contador de vagas (X / cota), seleção de usuários ativos ou convite, e seletor de plano (Base = 2, Pro = 5, Premium = ilimitado). 3º corretor bloqueado no plano base — validação no front e no backend (autoridade final).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imobiliarias.html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api/data.js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03 · Fluxo de cadastro integrado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Etapa de revisão/confirmação antes de gravar (modal "Revisar cadastro") com resumo de empresa + gestor + corretores e tags (convite / existente / já vinculado). E-mail único entre convidados. Persistência integrada: empresa → gestor → corretores → convites de senha.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imobiliarias.html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10 · Nome do usuário e status de acesso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Status padronizado: Convite pendente / Ativo / Bloqueado (derivado de auth_user_id, exposto pelo backend). Coluna e detalhe padronizados na tela de corretores, com ação de reenviar convite.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corretores.html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imobiliarias.html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api/data.js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13 · Cadastros em abas e subabas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ALTO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Detalhe da imobiliária em subabas: Dados gerais · Gestor · Corretores · Usuários e acesso · Plano e financeiro. Mantém a imobiliária selecionada e destaca a opção ativa.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imobiliarias.html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Fase 2 — Acesso &amp; Segurança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04 · Aba Jurídico para a Diretoria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Nova página juridico.html (casos, honorários, status de assinatura); atribuir/remover advogado por negócio. Nova ação de backend "casos" (visão da diretoria); nav-item "Jurídico" em 27 páginas, visível só para perfis administrativos.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juridico.html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api/juris.js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auth.js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+27 páginas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05 · Recuperação de senha por e-mail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Tela de redefinição robusta aos dois formatos de link do Supabase — implicit (#access_token) e PKCE (?code) — usando a storageKey do app para acessar o code_verifier, com fallback de exchangeCodeForSession. Atenção: se o e-mail não chegar, a causa mais provável é a configuração de SMTP / Redirect URLs no painel do Supabase, não o código.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redefinir.html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06 · Encerramento de sessão por inatividade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ALTO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Timeout: 15 min (perfis administrativos) / 30 min (demais). Reinicia a contagem em interação real; ao expirar, faz logout. Inatividade e logout sincronizados entre abas.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auth.js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07 · Foto do usuário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ALTO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Upload/substituição por clique no avatar (JPG/PNG/WEBP, até 3 MB), resize 256 px no canvas. Persiste em user_metadata.avatar_url (sobrevive a novo login/dispositivo), com fallback local e iniciais.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auth.js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Fase 3 — Integrações &amp; Estabilidade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08 · Desempenho e abertura do WhatsApp</w:t>
      </w:r>
      <w:r>
        <w:rPr>
          <w:rFonts w:ascii="Calibri" w:cs="Calibri" w:eastAsia="Calibri" w:hAnsi="Calibri"/>
          <w:b/>
          <w:bCs/>
          <w:color w:val="128A5A"/>
          <w:sz w:val="16"/>
          <w:szCs w:val="16"/>
        </w:rPr>
        <w:t xml:space="preserve">   CRÍTICO · NO 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Causa raiz: nenhuma requisição tinha timeout — canal/banco lento deixava o módulo em "Carregando…" para sempre e segurava a função serverless. Correção: front com timeout de 12 s, estado de carregamento e erro com "Tentar novamente" (conversas e mensagens); backend com timeout de 8 s na chamada à Evolution API, degradando com elegância.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Arquivos: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whatsapp.html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 · api/wa.js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Pendentes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09 · Controle financeiro do Hub</w:t>
      </w:r>
      <w:r>
        <w:rPr>
          <w:rFonts w:ascii="Calibri" w:cs="Calibri" w:eastAsia="Calibri" w:hAnsi="Calibri"/>
          <w:b/>
          <w:bCs/>
          <w:color w:val="B9770A"/>
          <w:sz w:val="16"/>
          <w:szCs w:val="16"/>
        </w:rPr>
        <w:t xml:space="preserve">   CRÍTICO · AGUARDA REGRAS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Módulo novo (Financeiro do Hub + escopo por perfil): receitas, planos, comissões, modelo Fifty, cobranças, status e relatórios. Falta: definição do modelo Fifty, cálculo de comissões/cobranças e escopo por perfil.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12 · Avaliar assinatura digital no Google</w:t>
      </w:r>
      <w:r>
        <w:rPr>
          <w:rFonts w:ascii="Calibri" w:cs="Calibri" w:eastAsia="Calibri" w:hAnsi="Calibri"/>
          <w:b/>
          <w:bCs/>
          <w:color w:val="2563EB"/>
          <w:sz w:val="16"/>
          <w:szCs w:val="16"/>
        </w:rPr>
        <w:t xml:space="preserve">   DECISÃO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Análise técnica e jurídica das opções (Workspace/Drive vs provedor integrado). Falta: decisão de negócio — ver a Parte 3 deste documento.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11 · Zerar o ambiente de homologação</w:t>
      </w:r>
      <w:r>
        <w:rPr>
          <w:rFonts w:ascii="Calibri" w:cs="Calibri" w:eastAsia="Calibri" w:hAnsi="Calibri"/>
          <w:b/>
          <w:bCs/>
          <w:color w:val="B9770A"/>
          <w:sz w:val="16"/>
          <w:szCs w:val="16"/>
        </w:rPr>
        <w:t xml:space="preserve">   ALTO · OPERAÇÃO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Operação destrutiva: backup técnico + limpeza apenas da base de homologação, preservando configurações, integrações e o administrador. Nunca em produção. Falta: acesso ao banco de homologação + confirmação explícita. Último passo, após todos os demais validados.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Verificação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33415C"/>
          <w:sz w:val="21"/>
          <w:szCs w:val="21"/>
        </w:rPr>
        <w:t xml:space="preserve">Já verificado 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(teste local de UI com /api simulado, perfil Diretoria, zero erros de console):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Modal de cadastro renderiza gestor, corretores e plano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Fluxo do item 03: "Revisar cadastro" abre com resumo correto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Página Jurídico: KPIs, tabela, atribuição de advogado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Corretores: coluna "Status de acesso" e upload de foto ativos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WhatsApp carrega sem tela branca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Nav "Jurídico" único nas 28 páginas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33415C"/>
          <w:sz w:val="21"/>
          <w:szCs w:val="21"/>
        </w:rPr>
        <w:t xml:space="preserve">Ainda precisa de validação em produção 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(backend real — ver a Parte 2):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Persistência real do cadastro (gestor + corretores)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Chegada dos e-mails de convite e reset (SMTP do Supabase)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Expiração de sessão (15 / 30 min)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Foto persistindo entre logins e dispositivos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Timeout do WhatsApp com Evolution API lenta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Parte 2 · Roteiro de testes (produção)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Valida em produção os 10 itens entregues, com base nos critérios de aceite do relatório. Marque cada passo; onde falhar, anote o comportamento observado.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Pré-requisitos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Deploy da main concluído na Vercel (últimos commits das 3 fases)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Um usuário Diretoria real (acesso total)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Um e-mail de teste acessível (convites e reset)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Env na Vercel: DB_URL, SUPABASE_URL, SUPABASE_ANON_KEY, SUPABASE_SERVICE_ROLE_KEY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SMTP do Supabase configurado + Redirect URLs incluindo https://SEU-DOMINIO/redefinir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Passo a passo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01 · Gestor responsável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Nova imobiliária: o campo "Gestor responsável" é obrigatório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Buscar e selecionar um usuário ativo funciona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 gestor aparece vinculado na subaba "Gestor"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Trocar o gestor reflete após atualizar a tela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01b · Convidar novo gestor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"+ Convidar novo gestor" com nome + e-mail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Aparece a senha temporária (ou aviso de login já existente)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 gestor convidado consegue entrar / criar a própria senha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02 · Corretores + plano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Adicionar 2 corretores; contador mostra "X / 2 vagas"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 3º corretor é bloqueado no plano Base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Trocando para Pro, o 3º é permitido (cota 5)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Corretores aparecem na imobiliária correta com permissões compatíveis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03 · Cadastro integrado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Cadastro completo abre o modal "Revisar cadastro"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Resumo mostra empresa, plano, gestor e corretores com tags corretas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E-mail repetido entre convidados é bloqueado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Ao confirmar, tudo é criado e vinculado; convidados recebem acesso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10 · Nome e status de acesso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Coluna "Status de acesso": Convite pendente / Ativo / Bloqueado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Nome, e-mail, perfil e imobiliária em listas e detalhe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"Convite" (reenviar) gera nova senha temporária e dá acesso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13 · Abas e subabas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Subabas: Dados gerais · Gestor · Corretores · Usuários e acesso · Plano e financeiro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Trocar de subaba mantém a imobiliária e destaca a ativa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Funciona em computador e celular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04 · Aba Jurídico (Diretoria)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Item "Jurídico" no menu do usuário Diretoria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KPIs e tabela de casos carregam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Atribuir e remover advogado de um negócio funciona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Em perfil não-administrativo, o item "Jurídico" não aparece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05 · Recuperação de senha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 e-mail de redefinição chega (senão: checar SMTP/Redirect URLs no Supabase)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 link abre a tela "Criar nova senha" (não "link inválido")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 troca funciona; a senha anterior não autentica mais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Link reutilizado ou expirado é recusado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06 · Sessão por inatividade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Perfil comum parado 30 min → exige novo login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Admin/Diretoria parado 15 min → exige novo login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Logout manual invalida o acesso na hora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07 · Foto do usuário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Upload pelo avatar aparece no cabeçalho/menu sem distorção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Após logout/login a foto permanece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Arquivo &gt; 3 MB ou formato inválido é recusado com mensagem clara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08 · WhatsApp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Abre de forma consistente em acessos repetidos, sem tela branca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Interface ~3 s / carga ~5 s na maioria dos casos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Falha ao carregar mostra "Tentar novamente" (não spinner infinito)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Com canal lento/offline, erro compreensível com retry, sem travar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Resultado</w:t>
      </w:r>
    </w:p>
    <w:tbl>
      <w:tblPr>
        <w:tblW w:type="dxa" w:w="9360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auto" w:sz="4"/>
          <w:insideV w:val="single" w:color="auto" w:sz="4"/>
        </w:tblBorders>
      </w:tblPr>
      <w:tblGrid>
        <w:gridCol w:w="5400"/>
        <w:gridCol w:w="1560"/>
        <w:gridCol w:w="2400"/>
      </w:tblGrid>
      <w:tr>
        <w:trPr>
          <w:tblHeader/>
        </w:trPr>
        <w:tc>
          <w:tcPr>
            <w:tcW w:type="dxa" w:w="540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6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Passou?</w:t>
            </w:r>
          </w:p>
        </w:tc>
        <w:tc>
          <w:tcPr>
            <w:tcW w:type="dxa" w:w="240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01 Gestor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02 Corretores</w:t>
            </w:r>
          </w:p>
        </w:tc>
        <w:tc>
          <w:tcPr>
            <w:tcW w:type="dxa" w:w="15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03 Cadastro integrado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04 Jurídico</w:t>
            </w:r>
          </w:p>
        </w:tc>
        <w:tc>
          <w:tcPr>
            <w:tcW w:type="dxa" w:w="15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05 Reset senha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06 Sessão</w:t>
            </w:r>
          </w:p>
        </w:tc>
        <w:tc>
          <w:tcPr>
            <w:tcW w:type="dxa" w:w="15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07 Foto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08 WhatsApp</w:t>
            </w:r>
          </w:p>
        </w:tc>
        <w:tc>
          <w:tcPr>
            <w:tcW w:type="dxa" w:w="15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10 Status acesso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13 Subabas</w:t>
            </w:r>
          </w:p>
        </w:tc>
        <w:tc>
          <w:tcPr>
            <w:tcW w:type="dxa" w:w="156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>☐</w:t>
            </w:r>
          </w:p>
        </w:tc>
        <w:tc>
          <w:tcPr>
            <w:tcW w:type="dxa" w:w="2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Só liberar os testes finais após todos os itens acima aprovados em homologação (item 11 do relatório).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Parte 3 · Análise da assinatura digital (item 12)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B9770A"/>
          <w:sz w:val="21"/>
          <w:szCs w:val="21"/>
        </w:rPr>
        <w:t xml:space="preserve">Aviso: </w:t>
      </w: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apoio técnico, não parecer jurídico. A validade legal para contratos imobiliários deve ser confirmada com o jurídico/advogado da empresa.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Contexto legal (Brasil) — resumo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MP 2.200-2/2001 institui a ICP-Brasil e reconhece assinaturas eletrônicas.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Lei 14.063/2020 define três níveis: simples, avançada e qualificada (com certificado ICP-Brasil).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Para contratos entre particulares (compra/venda, locação), a assinatura eletrônica avançada costuma ser aceita quando há prova de autoria e integridade (trilha de auditoria, e-mail, IP, carimbo de tempo).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LGPD: o processo trata dados pessoais (nome, CPF, e-mail, IP). Exige base legal (execução de contrato), minimização e contrato com o operador (provedor de assinatura).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33415C"/>
          <w:sz w:val="21"/>
          <w:szCs w:val="21"/>
        </w:rPr>
        <w:t xml:space="preserve">Ponto crítico: </w:t>
      </w:r>
      <w:r>
        <w:rPr>
          <w:rFonts w:ascii="Calibri" w:cs="Calibri" w:eastAsia="Calibri" w:hAnsi="Calibri"/>
          <w:color w:val="33415C"/>
          <w:sz w:val="21"/>
          <w:szCs w:val="21"/>
        </w:rPr>
        <w:t xml:space="preserve">não é "assinar dentro do Google", e sim ter trilha de auditoria robusta + identidade do signatário + armazenamento seguro, com validade reconhecida.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Opções avaliadas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Opção A — Google Workspace eSignature (nativo)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Assinatura dentro do Google Docs/Drive. Prós: integra ao ecossistema já usado, sem novo fornecedor. Contras: sem certificação ICP-Brasil; trilha/identidade menos aderentes à norma brasileira; validade frágil para imóveis no Brasil sem camada adicional. Veredito: insuficiente sozinho.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Opção B — Google Drive (armazenamento) + provedor BR integrado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Provedores com API: Clicksign, ZapSign, D4Sign, Autentique. Fluxo: gerar/selecionar documento → enviar via API → signatários assinam (e-mail/SMS/selfie/token) → provedor devolve PDF assinado + manifesto de auditoria → armazenar no Drive/Blob e vincular ao negócio. Prós: trilha completa, opções de identidade, aderência à Lei 14.063 e à prática do mercado imobiliário BR, LGPD com DPA. Contras: novo fornecedor + custo por documento; integração via API. Veredito: caminho recomendado.</w:t>
      </w:r>
    </w:p>
    <w:p>
      <w:pPr>
        <w:pStyle w:val="Heading3"/>
        <w:spacing w:after="70" w:before="2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Opção C — Só provedor BR (sem Google)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Igual à B, armazenando no provedor + Vercel Blob. Prós: menos peças. Contras: perde a integração com o Drive que o relatório menciona.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Comparativo</w:t>
      </w:r>
    </w:p>
    <w:tbl>
      <w:tblPr>
        <w:tblW w:type="dxa" w:w="9360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auto" w:sz="4"/>
          <w:insideV w:val="single" w:color="auto" w:sz="4"/>
        </w:tblBorders>
      </w:tblPr>
      <w:tblGrid>
        <w:gridCol w:w="3400"/>
        <w:gridCol w:w="1986"/>
        <w:gridCol w:w="1986"/>
        <w:gridCol w:w="1988"/>
      </w:tblGrid>
      <w:tr>
        <w:trPr>
          <w:tblHeader/>
        </w:trPr>
        <w:tc>
          <w:tcPr>
            <w:tcW w:type="dxa" w:w="3400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986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· Google</w:t>
            </w:r>
          </w:p>
        </w:tc>
        <w:tc>
          <w:tcPr>
            <w:tcW w:type="dxa" w:w="1986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 · Drive+BR</w:t>
            </w:r>
          </w:p>
        </w:tc>
        <w:tc>
          <w:tcPr>
            <w:tcW w:type="dxa" w:w="1988"/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 · Provedor BR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Validade jurídica BR (imóveis)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~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Trilha de auditoria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~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8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Identidade do signatário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~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ICP-Brasil (quando exigido)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A"/>
                <w:sz w:val="21"/>
                <w:szCs w:val="21"/>
              </w:rPr>
              <w:t xml:space="preserve">✗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8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Integração com Google/Drive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8A5A"/>
                <w:sz w:val="21"/>
                <w:szCs w:val="21"/>
              </w:rPr>
              <w:t xml:space="preserve">✓</w:t>
            </w:r>
          </w:p>
        </w:tc>
        <w:tc>
          <w:tcPr>
            <w:tcW w:type="dxa" w:w="19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~</w:t>
            </w:r>
          </w:p>
        </w:tc>
      </w:tr>
      <w:tr>
        <w:tc>
          <w:tcPr>
            <w:tcW w:type="dxa" w:w="34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Esforço de dev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Baixo</w:t>
            </w:r>
          </w:p>
        </w:tc>
        <w:tc>
          <w:tcPr>
            <w:tcW w:type="dxa" w:w="198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Médio</w:t>
            </w:r>
          </w:p>
        </w:tc>
        <w:tc>
          <w:tcPr>
            <w:tcW w:type="dxa" w:w="1988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Médio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C"/>
                <w:sz w:val="18"/>
                <w:szCs w:val="18"/>
              </w:rPr>
              <w:t xml:space="preserve">Custo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Incluso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Por doc</w:t>
            </w:r>
          </w:p>
        </w:tc>
        <w:tc>
          <w:tcPr>
            <w:tcW w:type="dxa" w:w="19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1"/>
                <w:szCs w:val="21"/>
              </w:rPr>
              <w:t xml:space="preserve">Por doc</w:t>
            </w:r>
          </w:p>
        </w:tc>
      </w:tr>
    </w:tbl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Recomendação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Opção B — Google Drive para armazenamento + um provedor brasileiro (avaliar Clicksign ou ZapSign primeiro, por custo/API) para a assinatura com trilha de auditoria. Entrega a validade e a auditoria que o mercado imobiliário exige, mantendo o vínculo com o Google que o relatório pede. Se a diretoria decidir que a assinatura avançada basta nesta versão, a Opção B já cobre; se algum contrato exigir ICP-Brasil, o mesmo provedor oferece esse nível.</w:t>
      </w:r>
    </w:p>
    <w:p>
      <w:pPr>
        <w:pStyle w:val="Heading2"/>
        <w:pBdr>
          <w:bottom w:val="single" w:color="DBE3EE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25"/>
          <w:szCs w:val="25"/>
        </w:rPr>
        <w:t xml:space="preserve">Próximos passos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Diretoria escolhe o nível de assinatura (avançada x qualificada/ICP)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Escolher o provedor (cotar Clicksign / ZapSign / D4Sign / Autentique)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Jurídico valida aderência à LGPD e à validade para os contratos usados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C"/>
          <w:sz w:val="21"/>
          <w:szCs w:val="21"/>
        </w:rPr>
        <w:t xml:space="preserve">Dev integra via API (a tabela contratos já tem status_assinatura, assinado_em, url_assinado)</w:t>
      </w:r>
    </w:p>
    <w:p>
      <w:pPr>
        <w:spacing w:after="120" w:before="300" w:line="276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Documento gerado como resposta ao Relatório de Adequações Pré-Testes Finais · AiLogic Hub.</w:t>
      </w:r>
    </w:p>
    <w:sectPr>
      <w:pgSz w:w="12240" w:h="15840" w:orient="portrait"/>
      <w:pgMar w:top="1200" w:right="1240" w:bottom="12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das Adequações · AiLogic Hub</dc:title>
  <dc:creator>AiLogic Hub</dc:creator>
  <cp:lastModifiedBy>Un-named</cp:lastModifiedBy>
  <cp:revision>1</cp:revision>
  <dcterms:created xsi:type="dcterms:W3CDTF">2026-08-02T02:25:45.587Z</dcterms:created>
  <dcterms:modified xsi:type="dcterms:W3CDTF">2026-08-02T02:25:45.589Z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