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mc="http://schemas.openxmlformats.org/markup-compatibility/2006">
  <w:body>
    <w:p>
      <w:pPr>
        <w:spacing w:after="0"/>
      </w:pPr>
    </w:p>
    <w:p>
      <w:pPr>
        <w:spacing w:after="0"/>
      </w:pPr>
    </w:p>
    <w:p>
      <w:pPr>
        <w:spacing w:after="0"/>
      </w:pPr>
    </w:p>
    <w:p>
      <w:pPr>
        <w:spacing w:after="0"/>
      </w:pPr>
    </w:p>
    <w:p>
      <w:pPr>
        <w:pStyle w:val="Title"/>
      </w:pPr>
      <w:r>
        <w:t xml:space="preserve">Epidemiología Clínica</w:t>
      </w:r>
    </w:p>
    <w:p>
      <w:pPr>
        <w:pStyle w:val="Title"/>
      </w:pPr>
      <w:r>
        <w:t xml:space="preserve">y Salud Pública</w:t>
      </w:r>
    </w:p>
    <w:p>
      <w:pPr>
        <w:pStyle w:val="Subtitle"/>
      </w:pPr>
      <w:r>
        <w:t xml:space="preserve">Compendio teórico — Temas 1 a 8</w:t>
      </w:r>
    </w:p>
    <w:p>
      <w:pPr>
        <w:jc w:val="center"/>
        <w:spacing w:before="120" w:after="0"/>
        <w:pBdr>
          <w:bottom w:val="single" w:sz="6" w:space="1" w:color="2E74B5"/>
        </w:pBdr>
      </w:pPr>
    </w:p>
    <w:p>
      <w:pPr>
        <w:jc w:val="center"/>
        <w:spacing w:before="240"/>
      </w:pPr>
      <w:r>
        <w:rPr>
          <w:i/>
          <w:color w:val="595959"/>
        </w:rPr>
        <w:t xml:space="preserve">Pruebas diagnósticas · Ensayos clínicos · Investigación de brotes · Tasas de ataque · Fases de investigación · Análisis de supervivencia · Meta-análisis · Curvas epidémicas</w:t>
      </w:r>
    </w:p>
    <w:p>
      <w:r>
        <w:br w:type="page"/>
      </w:r>
    </w:p>
    <w:p>
      <w:pPr>
        <w:pStyle w:val="Heading1"/>
      </w:pPr>
      <w:r>
        <w:t xml:space="preserve">Contenido</w:t>
      </w:r>
    </w:p>
    <w:p>
      <w:pPr>
        <w:spacing w:after="80"/>
        <w:ind w:left="200"/>
      </w:pPr>
      <w:r>
        <w:rPr>
          <w:b/>
          <w:color w:val="1F3864"/>
        </w:rPr>
        <w:t xml:space="preserve">Tema 1 — Pruebas diagnósticas y de cribado (validez)</w:t>
      </w:r>
    </w:p>
    <w:p>
      <w:pPr>
        <w:spacing w:after="80"/>
        <w:ind w:left="200"/>
      </w:pPr>
      <w:r>
        <w:rPr>
          <w:b/>
          <w:color w:val="1F3864"/>
        </w:rPr>
        <w:t xml:space="preserve">Tema 2 — Métricas de eficacia y seguridad en ensayos clínicos</w:t>
      </w:r>
    </w:p>
    <w:p>
      <w:pPr>
        <w:spacing w:after="80"/>
        <w:ind w:left="200"/>
      </w:pPr>
      <w:r>
        <w:rPr>
          <w:b/>
          <w:color w:val="1F3864"/>
        </w:rPr>
        <w:t xml:space="preserve">Tema 3 — Investigación de brotes (los 10 pasos)</w:t>
      </w:r>
    </w:p>
    <w:p>
      <w:pPr>
        <w:spacing w:after="80"/>
        <w:ind w:left="200"/>
      </w:pPr>
      <w:r>
        <w:rPr>
          <w:b/>
          <w:color w:val="1F3864"/>
        </w:rPr>
        <w:t xml:space="preserve">Tema 4 — Tasas de ataque (primaria y secundaria)</w:t>
      </w:r>
    </w:p>
    <w:p>
      <w:pPr>
        <w:spacing w:after="80"/>
        <w:ind w:left="200"/>
      </w:pPr>
      <w:r>
        <w:rPr>
          <w:b/>
          <w:color w:val="1F3864"/>
        </w:rPr>
        <w:t xml:space="preserve">Tema 5 — Fases de la investigación clínica (0–IV)</w:t>
      </w:r>
    </w:p>
    <w:p>
      <w:pPr>
        <w:spacing w:after="80"/>
        <w:ind w:left="200"/>
      </w:pPr>
      <w:r>
        <w:rPr>
          <w:b/>
          <w:color w:val="1F3864"/>
        </w:rPr>
        <w:t xml:space="preserve">Tema 6 — Análisis de supervivencia y pronóstico</w:t>
      </w:r>
    </w:p>
    <w:p>
      <w:pPr>
        <w:spacing w:after="80"/>
        <w:ind w:left="200"/>
      </w:pPr>
      <w:r>
        <w:rPr>
          <w:b/>
          <w:color w:val="1F3864"/>
        </w:rPr>
        <w:t xml:space="preserve">Tema 7 — Meta-análisis e interpretación de Forest Plot</w:t>
      </w:r>
    </w:p>
    <w:p>
      <w:pPr>
        <w:spacing w:after="80"/>
        <w:ind w:left="200"/>
      </w:pPr>
      <w:r>
        <w:rPr>
          <w:b/>
          <w:color w:val="1F3864"/>
        </w:rPr>
        <w:t xml:space="preserve">Tema 8 — Tipos de exposición y curvas epidémicas</w:t>
      </w:r>
    </w:p>
    <w:p>
      <w:r>
        <w:br w:type="page"/>
      </w:r>
    </w:p>
    <w:p>
      <w:pPr>
        <w:pStyle w:val="Heading1"/>
      </w:pPr>
      <w:r>
        <w:t xml:space="preserve">TEMA 1 — Pruebas Diagnósticas y de Cribado (Validez)</w:t>
      </w:r>
    </w:p>
    <w:p>
      <w:pPr>
        <w:pStyle w:val="Heading2"/>
      </w:pPr>
      <w:r>
        <w:t xml:space="preserve">I. Conceptualización de la Prueba Tamiz (Cribado)</w:t>
      </w:r>
    </w:p>
    <w:p>
      <w:pPr>
        <w:pStyle w:val="Heading3"/>
      </w:pPr>
      <w:r>
        <w:t xml:space="preserve">1.1 Definición y Propósito de la Prueba Tamiz</w:t>
      </w:r>
    </w:p>
    <w:p>
      <w:r>
        <w:t xml:space="preserve">La prueba tamiz (o screening) se define técnicamente como un procedimiento médico rápido, económico, no invasivo y de aplicación masiva en poblaciones que se presentan como aparentemente sanas 1-3. Su propósito fundamental no es establecer un diagnóstico definitivo, sino realizar una clasificación epidemiológica preliminar en dos grandes grupos: individuos con alta probabilidad de padecer una patología y aquellos con alta probabilidad de estar libres de ella 1-3. En la praxis médica, este concepto es vital para la detección temprana y la intervención oportuna antes de que la enfermedad alcance estadios de mayor morbilidad 4, 5.</w:t>
      </w:r>
    </w:p>
    <w:p>
      <w:pPr>
        <w:pStyle w:val="Heading3"/>
      </w:pPr>
      <w:r>
        <w:t xml:space="preserve">1.2 Diferencias Críticas con la Prueba Diagnóstica</w:t>
      </w:r>
    </w:p>
    <w:p>
      <w:r>
        <w:t xml:space="preserve">Es imperativo distinguir que la prueba tamiz no es una prueba de diagnóstico por sí misma 6-8. Mientras que el diagnóstico busca la certeza absoluta para iniciar un tratamiento, el tamizaje identifica "sospechosos" que obligatoriamente requieren una confirmación posterior mediante una prueba de referencia o gold standard (prueba de oro) 6-9. Ignorar esta distinción constituye un error grave de interpretación clínica, ya que un resultado positivo en tamizaje solo indica la necesidad de estudios más profundos 6, 9.</w:t>
      </w:r>
    </w:p>
    <w:p>
      <w:pPr>
        <w:pStyle w:val="Heading3"/>
      </w:pPr>
      <w:r>
        <w:t xml:space="preserve">1.3 Criterios de Wilson y Jungner (OMS)</w:t>
      </w:r>
    </w:p>
    <w:p>
      <w:r>
        <w:t xml:space="preserve">Para que una enfermedad sea considerada "tamizable", la Organización Mundial de la Salud (OMS) estableció en 1968 los criterios de Wilson y Jungner, los cuales deben cumplirse estrictamente para justificar el uso de recursos en salud pública 7, 8, 10, 11:</w:t>
      </w:r>
    </w:p>
    <w:p>
      <w:pPr>
        <w:pStyle w:val="ListParagraph"/>
        <w:spacing w:after="60"/>
        <w:ind w:left="360" w:hanging="260"/>
        <w:contextualSpacing/>
      </w:pPr>
      <w:r>
        <w:t xml:space="preserve">•  </w:t>
      </w:r>
      <w:r>
        <w:rPr>
          <w:b/>
        </w:rPr>
        <w:t xml:space="preserve">Importancia de Salud Pública:</w:t>
      </w:r>
      <w:r>
        <w:t xml:space="preserve"> La patología debe representar un problema significativo por su impacto en la morbimortalidad o carga de enfermedad de la población 7, 8, 10, 12.</w:t>
      </w:r>
    </w:p>
    <w:p>
      <w:pPr>
        <w:pStyle w:val="ListParagraph"/>
        <w:spacing w:after="60"/>
        <w:ind w:left="360" w:hanging="260"/>
        <w:contextualSpacing/>
      </w:pPr>
      <w:r>
        <w:t xml:space="preserve">•  </w:t>
      </w:r>
      <w:r>
        <w:rPr>
          <w:b/>
        </w:rPr>
        <w:t xml:space="preserve">Tratamiento Eficaz Disponible:</w:t>
      </w:r>
      <w:r>
        <w:t xml:space="preserve"> No es ético realizar tamizaje de una enfermedad para la cual no existe una intervención terapéutica que mejore el pronóstico de los detectados 7, 8, 11.</w:t>
      </w:r>
    </w:p>
    <w:p>
      <w:pPr>
        <w:pStyle w:val="ListParagraph"/>
        <w:spacing w:after="60"/>
        <w:ind w:left="360" w:hanging="260"/>
        <w:contextualSpacing/>
      </w:pPr>
      <w:r>
        <w:t xml:space="preserve">•  </w:t>
      </w:r>
      <w:r>
        <w:rPr>
          <w:b/>
        </w:rPr>
        <w:t xml:space="preserve">Historia Natural Conocida:</w:t>
      </w:r>
      <w:r>
        <w:t xml:space="preserve"> Debe existir una fase detectable preclínica (fase asintomática) claramente identificada donde la intervención sea más eficiente 7, 8, 11.</w:t>
      </w:r>
    </w:p>
    <w:p>
      <w:pPr>
        <w:pStyle w:val="ListParagraph"/>
        <w:spacing w:after="60"/>
        <w:ind w:left="360" w:hanging="260"/>
        <w:contextualSpacing/>
      </w:pPr>
      <w:r>
        <w:t xml:space="preserve">•  </w:t>
      </w:r>
      <w:r>
        <w:rPr>
          <w:b/>
        </w:rPr>
        <w:t xml:space="preserve">Prueba Aceptable y Válida:</w:t>
      </w:r>
      <w:r>
        <w:t xml:space="preserve"> El test debe ser reproducible, válido y bien tolerado por la población 5, 13, 14.</w:t>
      </w:r>
    </w:p>
    <w:p>
      <w:pPr>
        <w:pStyle w:val="ListParagraph"/>
        <w:spacing w:after="60"/>
        <w:ind w:left="360" w:hanging="260"/>
        <w:contextualSpacing/>
      </w:pPr>
      <w:r>
        <w:t xml:space="preserve">•  </w:t>
      </w:r>
      <w:r>
        <w:rPr>
          <w:b/>
        </w:rPr>
        <w:t xml:space="preserve">Costo-Beneficio Favorable:</w:t>
      </w:r>
      <w:r>
        <w:t xml:space="preserve"> La relación entre el costo del programa de detección y el beneficio en salud obtenido debe ser positiva 5, 13, 14.</w:t>
      </w:r>
    </w:p>
    <w:p>
      <w:pPr>
        <w:pStyle w:val="Heading3"/>
      </w:pPr>
      <w:r>
        <w:t xml:space="preserve">1.4 Usos en Salud Pública y Planeación</w:t>
      </w:r>
    </w:p>
    <w:p>
      <w:r>
        <w:t xml:space="preserve">La aplicación del tamizaje trasciende el contacto individual médico-paciente, abarcando funciones estratégicas en el sistema de salud 15, 16:</w:t>
      </w:r>
    </w:p>
    <w:p>
      <w:pPr>
        <w:pStyle w:val="ListParagraph"/>
        <w:spacing w:after="60"/>
        <w:ind w:left="360" w:hanging="260"/>
        <w:contextualSpacing/>
      </w:pPr>
      <w:r>
        <w:t xml:space="preserve">•  </w:t>
      </w:r>
      <w:r>
        <w:rPr>
          <w:b/>
        </w:rPr>
        <w:t xml:space="preserve">Detección Temprana:</w:t>
      </w:r>
      <w:r>
        <w:t xml:space="preserve"> Abordaje en la fase asintomática para evitar el paso al estadio morboso sintomático 4, 7, 8, 15.</w:t>
      </w:r>
    </w:p>
    <w:p>
      <w:pPr>
        <w:pStyle w:val="ListParagraph"/>
        <w:spacing w:after="60"/>
        <w:ind w:left="360" w:hanging="260"/>
        <w:contextualSpacing/>
      </w:pPr>
      <w:r>
        <w:t xml:space="preserve">•  </w:t>
      </w:r>
      <w:r>
        <w:rPr>
          <w:b/>
        </w:rPr>
        <w:t xml:space="preserve">Determinación de Prevalencia e Incidencia:</w:t>
      </w:r>
      <w:r>
        <w:t xml:space="preserve"> Permite conocer la magnitud real de una patología en la comunidad 7, 8, 15.</w:t>
      </w:r>
    </w:p>
    <w:p>
      <w:pPr>
        <w:pStyle w:val="ListParagraph"/>
        <w:spacing w:after="60"/>
        <w:ind w:left="360" w:hanging="260"/>
        <w:contextualSpacing/>
      </w:pPr>
      <w:r>
        <w:t xml:space="preserve">•  </w:t>
      </w:r>
      <w:r>
        <w:rPr>
          <w:b/>
        </w:rPr>
        <w:t xml:space="preserve">Planeación de Servicios:</w:t>
      </w:r>
      <w:r>
        <w:t xml:space="preserve"> Ayuda a los coordinadores médicos a definir perfiles epidemiológicos y destinar recursos según las necesidades de la población (ej. vacunación, filtros de agua) 7, 8, 12, 16.</w:t>
      </w:r>
    </w:p>
    <w:p>
      <w:pPr>
        <w:pStyle w:val="ListParagraph"/>
        <w:spacing w:after="60"/>
        <w:ind w:left="360" w:hanging="260"/>
        <w:contextualSpacing/>
      </w:pPr>
      <w:r>
        <w:t xml:space="preserve">•  </w:t>
      </w:r>
      <w:r>
        <w:rPr>
          <w:b/>
        </w:rPr>
        <w:t xml:space="preserve">Vigilancia Epidemiológica:</w:t>
      </w:r>
      <w:r>
        <w:t xml:space="preserve"> Monitoreo constante de programas de acción sanitaria 7, 8, 10.</w:t>
      </w:r>
    </w:p>
    <w:p>
      <w:pPr>
        <w:pStyle w:val="Heading3"/>
      </w:pPr>
      <w:r>
        <w:t xml:space="preserve">1.5 Ejemplos de Cribado en el Contexto Colombiano</w:t>
      </w:r>
    </w:p>
    <w:p>
      <w:r>
        <w:t xml:space="preserve">En Colombia, existen pruebas tamiz cubiertas por el Plan de Beneficios en Salud, tales como 5, 13, 14:</w:t>
      </w:r>
    </w:p>
    <w:p>
      <w:pPr>
        <w:pStyle w:val="ListParagraph"/>
        <w:spacing w:after="60"/>
        <w:ind w:left="360" w:hanging="260"/>
        <w:contextualSpacing/>
      </w:pPr>
      <w:r>
        <w:t xml:space="preserve">•  </w:t>
      </w:r>
      <w:r>
        <w:rPr>
          <w:b/>
        </w:rPr>
        <w:t xml:space="preserve">Hipotiroidismo Neonatal:</w:t>
      </w:r>
      <w:r>
        <w:t xml:space="preserve"> Realizada mediante TSH en papel filtro en recién nacidos.</w:t>
      </w:r>
    </w:p>
    <w:p>
      <w:pPr>
        <w:pStyle w:val="ListParagraph"/>
        <w:spacing w:after="60"/>
        <w:ind w:left="360" w:hanging="260"/>
        <w:contextualSpacing/>
      </w:pPr>
      <w:r>
        <w:t xml:space="preserve">•  </w:t>
      </w:r>
      <w:r>
        <w:rPr>
          <w:b/>
        </w:rPr>
        <w:t xml:space="preserve">Cáncer de Cuello Uterino:</w:t>
      </w:r>
      <w:r>
        <w:t xml:space="preserve"> Citología cervicouterina y pruebas de ADN para VPH.</w:t>
      </w:r>
    </w:p>
    <w:p>
      <w:pPr>
        <w:pStyle w:val="ListParagraph"/>
        <w:spacing w:after="60"/>
        <w:ind w:left="360" w:hanging="260"/>
        <w:contextualSpacing/>
      </w:pPr>
      <w:r>
        <w:t xml:space="preserve">•  </w:t>
      </w:r>
      <w:r>
        <w:rPr>
          <w:b/>
        </w:rPr>
        <w:t xml:space="preserve">Cáncer de Mama:</w:t>
      </w:r>
      <w:r>
        <w:t xml:space="preserve"> Mamografía de tamizaje según grupos de edad.</w:t>
      </w:r>
    </w:p>
    <w:p>
      <w:pPr>
        <w:pStyle w:val="ListParagraph"/>
        <w:spacing w:after="60"/>
        <w:ind w:left="360" w:hanging="260"/>
        <w:contextualSpacing/>
      </w:pPr>
      <w:r>
        <w:t xml:space="preserve">•  </w:t>
      </w:r>
      <w:r>
        <w:rPr>
          <w:b/>
        </w:rPr>
        <w:t xml:space="preserve">VIH en Gestantes:</w:t>
      </w:r>
      <w:r>
        <w:t xml:space="preserve"> Pruebas rápidas para prevenir la transmisión vertical.</w:t>
      </w:r>
    </w:p>
    <w:p>
      <w:pPr>
        <w:pStyle w:val="Heading2"/>
      </w:pPr>
      <w:r>
        <w:t xml:space="preserve">II. Fundamentos de la Validez y la Tabla 2×2</w:t>
      </w:r>
    </w:p>
    <w:p>
      <w:pPr>
        <w:pStyle w:val="Heading3"/>
      </w:pPr>
      <w:r>
        <w:t xml:space="preserve">2.1 Definición de Validez</w:t>
      </w:r>
    </w:p>
    <w:p>
      <w:r>
        <w:t xml:space="preserve">La validez es la capacidad de una prueba para medir lo que realmente pretende medir 9. Se determina mediante la comparación directa del resultado de la prueba evaluada frente a la "verdad" definida por el gold standard o estándar de oro (la prueba más específica y precisa disponible para esa patología) 5, 9, 13, 14.</w:t>
      </w:r>
    </w:p>
    <w:p>
      <w:pPr>
        <w:pStyle w:val="Heading3"/>
      </w:pPr>
      <w:r>
        <w:t xml:space="preserve">2.2 Construcción de la Tabla de Contingencia (2×2)</w:t>
      </w:r>
    </w:p>
    <w:p>
      <w:r>
        <w:t xml:space="preserve">La tabla de 2×2 es el eje analítico para calcular los indicadores de validez 9, 17, 18. Organiza los datos de la siguiente manera:</w:t>
      </w:r>
    </w:p>
    <w:tbl>
      <w:tblPr>
        <w:tblStyle w:val="GridTable"/>
        <w:tblW w:w="9300" w:type="dxa"/>
        <w:tblBorders>
          <w:top w:val="single" w:sz="4" w:color="9DB7D5"/>
          <w:left w:val="single" w:sz="4" w:color="9DB7D5"/>
          <w:bottom w:val="single" w:sz="4" w:color="9DB7D5"/>
          <w:right w:val="single" w:sz="4" w:color="9DB7D5"/>
          <w:insideH w:val="single" w:sz="4" w:color="D6E0EE"/>
          <w:insideV w:val="single" w:sz="4" w:color="D6E0EE"/>
        </w:tblBorders>
        <w:tblLook w:val="04A0"/>
      </w:tblPr>
      <w:tblGrid>
        <w:gridCol w:w="2700"/>
        <w:gridCol w:w="2300"/>
        <w:gridCol w:w="2300"/>
        <w:gridCol w:w="2000"/>
      </w:tblGrid>
      <w:tr>
        <w:trPr>
          <w:tblHeader/>
        </w:trPr>
        <w:tc>
          <w:tcPr>
            <w:tcW w:w="2700" w:type="dxa"/>
            <w:shd w:val="clear" w:color="auto" w:fill="2E74B5"/>
            <w:vAlign w:val="center"/>
          </w:tcPr>
          <w:p>
            <w:pPr>
              <w:spacing w:before="20" w:after="20"/>
              <w:jc w:val="left"/>
            </w:pPr>
            <w:r>
              <w:rPr>
                <w:b/>
              </w:rPr>
              <w:t xml:space="preserve"/>
            </w:r>
          </w:p>
        </w:tc>
        <w:tc>
          <w:tcPr>
            <w:tcW w:w="2300" w:type="dxa"/>
            <w:shd w:val="clear" w:color="auto" w:fill="2E74B5"/>
            <w:vAlign w:val="center"/>
          </w:tcPr>
          <w:p>
            <w:pPr>
              <w:spacing w:before="20" w:after="20"/>
              <w:jc w:val="center"/>
            </w:pPr>
            <w:r>
              <w:rPr>
                <w:b/>
                <w:color w:val="FFFFFF"/>
              </w:rPr>
              <w:t xml:space="preserve">Con Enfermedad (+)</w:t>
            </w:r>
          </w:p>
        </w:tc>
        <w:tc>
          <w:tcPr>
            <w:tcW w:w="2300" w:type="dxa"/>
            <w:shd w:val="clear" w:color="auto" w:fill="2E74B5"/>
            <w:vAlign w:val="center"/>
          </w:tcPr>
          <w:p>
            <w:pPr>
              <w:spacing w:before="20" w:after="20"/>
              <w:jc w:val="center"/>
            </w:pPr>
            <w:r>
              <w:rPr>
                <w:b/>
                <w:color w:val="FFFFFF"/>
              </w:rPr>
              <w:t xml:space="preserve">Sin Enfermedad (–)</w:t>
            </w:r>
          </w:p>
        </w:tc>
        <w:tc>
          <w:tcPr>
            <w:tcW w:w="2000" w:type="dxa"/>
            <w:shd w:val="clear" w:color="auto" w:fill="2E74B5"/>
            <w:vAlign w:val="center"/>
          </w:tcPr>
          <w:p>
            <w:pPr>
              <w:spacing w:before="20" w:after="20"/>
              <w:jc w:val="center"/>
            </w:pPr>
            <w:r>
              <w:rPr>
                <w:b/>
                <w:color w:val="FFFFFF"/>
              </w:rPr>
              <w:t xml:space="preserve">Total</w:t>
            </w:r>
          </w:p>
        </w:tc>
      </w:tr>
      <w:tr>
        <w:tc>
          <w:tcPr>
            <w:tcW w:w="2700" w:type="dxa"/>
            <w:shd w:val="clear" w:color="auto" w:fill="EAF1FA"/>
            <w:vAlign w:val="center"/>
          </w:tcPr>
          <w:p>
            <w:pPr>
              <w:spacing w:before="20" w:after="20"/>
              <w:jc w:val="left"/>
            </w:pPr>
            <w:r>
              <w:rPr>
                <w:b/>
              </w:rPr>
              <w:t xml:space="preserve">Prueba Positiva (+)</w:t>
            </w:r>
          </w:p>
        </w:tc>
        <w:tc>
          <w:tcPr>
            <w:tcW w:w="2300" w:type="dxa"/>
            <w:shd w:val="clear" w:color="auto" w:fill="EAF1FA"/>
            <w:vAlign w:val="center"/>
          </w:tcPr>
          <w:p>
            <w:pPr>
              <w:spacing w:before="20" w:after="20"/>
              <w:jc w:val="center"/>
            </w:pPr>
            <w:r>
              <w:t xml:space="preserve">a (VP)</w:t>
            </w:r>
          </w:p>
        </w:tc>
        <w:tc>
          <w:tcPr>
            <w:tcW w:w="2300" w:type="dxa"/>
            <w:shd w:val="clear" w:color="auto" w:fill="EAF1FA"/>
            <w:vAlign w:val="center"/>
          </w:tcPr>
          <w:p>
            <w:pPr>
              <w:spacing w:before="20" w:after="20"/>
              <w:jc w:val="center"/>
            </w:pPr>
            <w:r>
              <w:t xml:space="preserve">b (FP)</w:t>
            </w:r>
          </w:p>
        </w:tc>
        <w:tc>
          <w:tcPr>
            <w:tcW w:w="2000" w:type="dxa"/>
            <w:shd w:val="clear" w:color="auto" w:fill="EAF1FA"/>
            <w:vAlign w:val="center"/>
          </w:tcPr>
          <w:p>
            <w:pPr>
              <w:spacing w:before="20" w:after="20"/>
              <w:jc w:val="center"/>
            </w:pPr>
            <w:r>
              <w:t xml:space="preserve">a + b</w:t>
            </w:r>
          </w:p>
        </w:tc>
      </w:tr>
      <w:tr>
        <w:tc>
          <w:tcPr>
            <w:tcW w:w="2700" w:type="dxa"/>
            <w:vAlign w:val="center"/>
          </w:tcPr>
          <w:p>
            <w:pPr>
              <w:spacing w:before="20" w:after="20"/>
              <w:jc w:val="left"/>
            </w:pPr>
            <w:r>
              <w:rPr>
                <w:b/>
              </w:rPr>
              <w:t xml:space="preserve">Prueba Negativa (–)</w:t>
            </w:r>
          </w:p>
        </w:tc>
        <w:tc>
          <w:tcPr>
            <w:tcW w:w="2300" w:type="dxa"/>
            <w:vAlign w:val="center"/>
          </w:tcPr>
          <w:p>
            <w:pPr>
              <w:spacing w:before="20" w:after="20"/>
              <w:jc w:val="center"/>
            </w:pPr>
            <w:r>
              <w:t xml:space="preserve">c (FN)</w:t>
            </w:r>
          </w:p>
        </w:tc>
        <w:tc>
          <w:tcPr>
            <w:tcW w:w="2300" w:type="dxa"/>
            <w:vAlign w:val="center"/>
          </w:tcPr>
          <w:p>
            <w:pPr>
              <w:spacing w:before="20" w:after="20"/>
              <w:jc w:val="center"/>
            </w:pPr>
            <w:r>
              <w:t xml:space="preserve">d (VN)</w:t>
            </w:r>
          </w:p>
        </w:tc>
        <w:tc>
          <w:tcPr>
            <w:tcW w:w="2000" w:type="dxa"/>
            <w:vAlign w:val="center"/>
          </w:tcPr>
          <w:p>
            <w:pPr>
              <w:spacing w:before="20" w:after="20"/>
              <w:jc w:val="center"/>
            </w:pPr>
            <w:r>
              <w:t xml:space="preserve">c + d</w:t>
            </w:r>
          </w:p>
        </w:tc>
      </w:tr>
      <w:tr>
        <w:tc>
          <w:tcPr>
            <w:tcW w:w="2700" w:type="dxa"/>
            <w:shd w:val="clear" w:color="auto" w:fill="EAF1FA"/>
            <w:vAlign w:val="center"/>
          </w:tcPr>
          <w:p>
            <w:pPr>
              <w:spacing w:before="20" w:after="20"/>
              <w:jc w:val="left"/>
            </w:pPr>
            <w:r>
              <w:rPr>
                <w:b/>
              </w:rPr>
              <w:t xml:space="preserve">Total</w:t>
            </w:r>
          </w:p>
        </w:tc>
        <w:tc>
          <w:tcPr>
            <w:tcW w:w="2300" w:type="dxa"/>
            <w:shd w:val="clear" w:color="auto" w:fill="EAF1FA"/>
            <w:vAlign w:val="center"/>
          </w:tcPr>
          <w:p>
            <w:pPr>
              <w:spacing w:before="20" w:after="20"/>
              <w:jc w:val="center"/>
            </w:pPr>
            <w:r>
              <w:t xml:space="preserve">a + c</w:t>
            </w:r>
          </w:p>
        </w:tc>
        <w:tc>
          <w:tcPr>
            <w:tcW w:w="2300" w:type="dxa"/>
            <w:shd w:val="clear" w:color="auto" w:fill="EAF1FA"/>
            <w:vAlign w:val="center"/>
          </w:tcPr>
          <w:p>
            <w:pPr>
              <w:spacing w:before="20" w:after="20"/>
              <w:jc w:val="center"/>
            </w:pPr>
            <w:r>
              <w:t xml:space="preserve">b + d</w:t>
            </w:r>
          </w:p>
        </w:tc>
        <w:tc>
          <w:tcPr>
            <w:tcW w:w="2000" w:type="dxa"/>
            <w:shd w:val="clear" w:color="auto" w:fill="EAF1FA"/>
            <w:vAlign w:val="center"/>
          </w:tcPr>
          <w:p>
            <w:pPr>
              <w:spacing w:before="20" w:after="20"/>
              <w:jc w:val="center"/>
            </w:pPr>
            <w:r>
              <w:t xml:space="preserve">N</w:t>
            </w:r>
          </w:p>
        </w:tc>
      </w:tr>
    </w:tbl>
    <w:p>
      <w:pPr>
        <w:pStyle w:val="ListParagraph"/>
        <w:spacing w:after="60"/>
        <w:ind w:left="360" w:hanging="260"/>
        <w:contextualSpacing/>
      </w:pPr>
      <w:r>
        <w:t xml:space="preserve">•  </w:t>
      </w:r>
      <w:r>
        <w:rPr>
          <w:b/>
        </w:rPr>
        <w:t xml:space="preserve">VP (Verdaderos Positivos):</w:t>
      </w:r>
      <w:r>
        <w:t xml:space="preserve"> Individuos enfermos con resultado de prueba positivo (Celda a) 9, 17, 18.</w:t>
      </w:r>
    </w:p>
    <w:p>
      <w:pPr>
        <w:pStyle w:val="ListParagraph"/>
        <w:spacing w:after="60"/>
        <w:ind w:left="360" w:hanging="260"/>
        <w:contextualSpacing/>
      </w:pPr>
      <w:r>
        <w:t xml:space="preserve">•  </w:t>
      </w:r>
      <w:r>
        <w:rPr>
          <w:b/>
        </w:rPr>
        <w:t xml:space="preserve">VN (Verdaderos Negativos):</w:t>
      </w:r>
      <w:r>
        <w:t xml:space="preserve"> Individuos sanos con resultado de prueba negativo (Celda d) 9, 17, 18.</w:t>
      </w:r>
    </w:p>
    <w:p>
      <w:pPr>
        <w:pStyle w:val="ListParagraph"/>
        <w:spacing w:after="60"/>
        <w:ind w:left="360" w:hanging="260"/>
        <w:contextualSpacing/>
      </w:pPr>
      <w:r>
        <w:t xml:space="preserve">•  </w:t>
      </w:r>
      <w:r>
        <w:rPr>
          <w:b/>
        </w:rPr>
        <w:t xml:space="preserve">FP (Falsos Positivos):</w:t>
      </w:r>
      <w:r>
        <w:t xml:space="preserve"> Individuos sanos que la prueba identifica erróneamente como enfermos (Celda b / Error tipo I) 9, 17, 18.</w:t>
      </w:r>
    </w:p>
    <w:p>
      <w:pPr>
        <w:pStyle w:val="ListParagraph"/>
        <w:spacing w:after="60"/>
        <w:ind w:left="360" w:hanging="260"/>
        <w:contextualSpacing/>
      </w:pPr>
      <w:r>
        <w:t xml:space="preserve">•  </w:t>
      </w:r>
      <w:r>
        <w:rPr>
          <w:b/>
        </w:rPr>
        <w:t xml:space="preserve">FN (Falsos Negativos):</w:t>
      </w:r>
      <w:r>
        <w:t xml:space="preserve"> Individuos enfermos que la prueba no logra detectar (Celda c / Error tipo II) 9, 17, 18.</w:t>
      </w:r>
    </w:p>
    <w:p>
      <w:pPr>
        <w:pStyle w:val="ListParagraph"/>
        <w:spacing w:after="60"/>
        <w:ind w:left="360" w:hanging="260"/>
        <w:contextualSpacing/>
      </w:pPr>
      <w:r>
        <w:t xml:space="preserve">•  </w:t>
      </w:r>
      <w:r>
        <w:rPr>
          <w:b/>
        </w:rPr>
        <w:t xml:space="preserve">Importancia Clínica de los Errores:</w:t>
      </w:r>
      <w:r>
        <w:t xml:space="preserve"> Una alta tasa de FP satura el sistema con confirmaciones innecesarias y causa ansiedad; una alta tasa de FN es crítica en enfermedades letales tratables, ya que se pierde la oportunidad de intervención 9, 19-21.</w:t>
      </w:r>
    </w:p>
    <w:p>
      <w:pPr>
        <w:pStyle w:val="Heading2"/>
      </w:pPr>
      <w:r>
        <w:t xml:space="preserve">III. Indicadores Intrínsecos de Validez 🧮</w:t>
      </w:r>
    </w:p>
    <w:p>
      <w:pPr>
        <w:pStyle w:val="Heading3"/>
      </w:pPr>
      <w:r>
        <w:t xml:space="preserve">3.1 Sensibilidad (S)</w:t>
      </w:r>
    </w:p>
    <w:p>
      <w:r>
        <w:t xml:space="preserve">Es la probabilidad de que una prueba sea positiva dado que el individuo está realmente enfermo 22-24. Mide la capacidad del test para captar a los enfermos (Fracción de Verdaderos Positivos) 22-24.</w:t>
      </w:r>
    </w:p>
    <w:p>
      <w:pPr>
        <w:pStyle w:val="ListParagraph"/>
        <w:spacing w:after="60"/>
        <w:ind w:left="360" w:hanging="260"/>
        <w:contextualSpacing/>
      </w:pPr>
      <w:r>
        <w:t xml:space="preserve">•  </w:t>
      </w:r>
      <w:r>
        <w:rPr>
          <w:b/>
        </w:rPr>
        <w:t xml:space="preserve">Mnemotecnia SnNout:</w:t>
      </w:r>
      <w:r>
        <w:t xml:space="preserve"> Una prueba con muy alta Sensibilidad que da un resultado Negativo, permite descartar la enfermedad (Out) 23, 24.</w:t>
      </w:r>
    </w:p>
    <w:p>
      <w:pPr>
        <w:pStyle w:val="ListParagraph"/>
        <w:spacing w:after="60"/>
        <w:ind w:left="360" w:hanging="260"/>
        <w:contextualSpacing/>
      </w:pPr>
      <w:r>
        <w:t xml:space="preserve">•  </w:t>
      </w:r>
      <w:r>
        <w:rPr>
          <w:b/>
        </w:rPr>
        <w:t xml:space="preserve">Fórmula:</w:t>
      </w:r>
      <w:r>
        <w:t xml:space="preserve"> </w:t>
      </w:r>
      <m:oMath>
        <m:r>
          <m:t xml:space="preserve">Sensibilidad = </m:t>
        </m:r>
        <m:f>
          <m:num>
            <m:r>
              <m:t xml:space="preserve">VP</m:t>
            </m:r>
          </m:num>
          <m:den>
            <m:r>
              <m:t xml:space="preserve">VP + FN</m:t>
            </m:r>
          </m:den>
        </m:f>
        <m:r>
          <m:t xml:space="preserve"> = </m:t>
        </m:r>
        <m:f>
          <m:num>
            <m:r>
              <m:t xml:space="preserve">a</m:t>
            </m:r>
          </m:num>
          <m:den>
            <m:r>
              <m:t xml:space="preserve">a + c</m:t>
            </m:r>
          </m:den>
        </m:f>
      </m:oMath>
      <w:r>
        <w:t xml:space="preserve"> 23, 24.</w:t>
      </w:r>
    </w:p>
    <w:p>
      <w:pPr>
        <w:pStyle w:val="ListParagraph"/>
        <w:spacing w:after="60"/>
        <w:ind w:left="360" w:hanging="260"/>
        <w:contextualSpacing/>
      </w:pPr>
      <w:r>
        <w:t xml:space="preserve">•  </w:t>
      </w:r>
      <w:r>
        <w:rPr>
          <w:b/>
        </w:rPr>
        <w:t xml:space="preserve">Interpretación:</w:t>
      </w:r>
      <w:r>
        <w:t xml:space="preserve"> Se expresa en porcentaje. Una sensibilidad del 90% significa que de cada 100 enfermos, la prueba detectará a 90; los 10 restantes serán falsos negativos 25, 26.</w:t>
      </w:r>
    </w:p>
    <w:p>
      <w:pPr>
        <w:pStyle w:val="Heading3"/>
      </w:pPr>
      <w:r>
        <w:t xml:space="preserve">3.2 Especificidad (E)</w:t>
      </w:r>
    </w:p>
    <w:p>
      <w:r>
        <w:t xml:space="preserve">Es la probabilidad de que la prueba sea negativa dado que el individuo está realmente sano 22-24. Mide la capacidad del test para descartar a los sanos (Fracción de Verdaderos Negativos) 22-24.</w:t>
      </w:r>
    </w:p>
    <w:p>
      <w:pPr>
        <w:pStyle w:val="ListParagraph"/>
        <w:spacing w:after="60"/>
        <w:ind w:left="360" w:hanging="260"/>
        <w:contextualSpacing/>
      </w:pPr>
      <w:r>
        <w:t xml:space="preserve">•  </w:t>
      </w:r>
      <w:r>
        <w:rPr>
          <w:b/>
        </w:rPr>
        <w:t xml:space="preserve">Mnemotecnia SpPin:</w:t>
      </w:r>
      <w:r>
        <w:t xml:space="preserve"> Una prueba con muy alta Especificidad que da un resultado Positivo, permite confirmar la enfermedad (In) 23, 24.</w:t>
      </w:r>
    </w:p>
    <w:p>
      <w:pPr>
        <w:pStyle w:val="ListParagraph"/>
        <w:spacing w:after="60"/>
        <w:ind w:left="360" w:hanging="260"/>
        <w:contextualSpacing/>
      </w:pPr>
      <w:r>
        <w:t xml:space="preserve">•  </w:t>
      </w:r>
      <w:r>
        <w:rPr>
          <w:b/>
        </w:rPr>
        <w:t xml:space="preserve">Fórmula:</w:t>
      </w:r>
      <w:r>
        <w:t xml:space="preserve"> </w:t>
      </w:r>
      <m:oMath>
        <m:r>
          <m:t xml:space="preserve">Especificidad = </m:t>
        </m:r>
        <m:f>
          <m:num>
            <m:r>
              <m:t xml:space="preserve">VN</m:t>
            </m:r>
          </m:num>
          <m:den>
            <m:r>
              <m:t xml:space="preserve">VN + FP</m:t>
            </m:r>
          </m:den>
        </m:f>
        <m:r>
          <m:t xml:space="preserve"> = </m:t>
        </m:r>
        <m:f>
          <m:num>
            <m:r>
              <m:t xml:space="preserve">d</m:t>
            </m:r>
          </m:num>
          <m:den>
            <m:r>
              <m:t xml:space="preserve">b + d</m:t>
            </m:r>
          </m:den>
        </m:f>
      </m:oMath>
      <w:r>
        <w:t xml:space="preserve"> 23, 24.</w:t>
      </w:r>
    </w:p>
    <w:p>
      <w:pPr>
        <w:pStyle w:val="ListParagraph"/>
        <w:spacing w:after="60"/>
        <w:ind w:left="360" w:hanging="260"/>
        <w:contextualSpacing/>
      </w:pPr>
      <w:r>
        <w:t xml:space="preserve">•  </w:t>
      </w:r>
      <w:r>
        <w:rPr>
          <w:b/>
        </w:rPr>
        <w:t xml:space="preserve">Interpretación:</w:t>
      </w:r>
      <w:r>
        <w:t xml:space="preserve"> Una especificidad del 95% indica que de cada 100 sanos, la prueba descartará correctamente a 95; los 5 restantes serán falsos positivos 25, 26.</w:t>
      </w:r>
    </w:p>
    <w:p>
      <w:pPr>
        <w:pStyle w:val="Heading3"/>
      </w:pPr>
      <w:r>
        <w:t xml:space="preserve">3.3 Relación Inversa y Punto de Corte</w:t>
      </w:r>
    </w:p>
    <w:p>
      <w:r>
        <w:t xml:space="preserve">Existe una relación inversamente proporcional: al intentar aumentar la sensibilidad (bajando el punto de corte para no perder ningún enfermo), inevitablemente se disminuye la especificidad (aumentando los falsos positivos), y viceversa 25-27. La elección del punto de corte óptimo depende de la severidad de la enfermedad y el costo de los errores 27.</w:t>
      </w:r>
    </w:p>
    <w:p>
      <w:pPr>
        <w:pStyle w:val="Heading2"/>
      </w:pPr>
      <w:r>
        <w:t xml:space="preserve">IV. Indicadores de Probabilidad Clínica (Predictivos) 🧮</w:t>
      </w:r>
    </w:p>
    <w:p>
      <w:r>
        <w:t xml:space="preserve">A diferencia de la S y E, los valores predictivos dependen de la Prevalencia de la enfermedad en la población donde se aplica la prueba 27-29.</w:t>
      </w:r>
    </w:p>
    <w:p>
      <w:pPr>
        <w:pStyle w:val="Heading3"/>
      </w:pPr>
      <w:r>
        <w:t xml:space="preserve">4.1 Valor Predictivo Positivo (VPP)</w:t>
      </w:r>
    </w:p>
    <w:p>
      <w:r>
        <w:t xml:space="preserve">Es la probabilidad de que un individuo con resultado positivo en la prueba esté realmente enfermo 30-32.</w:t>
      </w:r>
    </w:p>
    <w:p>
      <w:pPr>
        <w:pStyle w:val="ListParagraph"/>
        <w:spacing w:after="60"/>
        <w:ind w:left="360" w:hanging="260"/>
        <w:contextualSpacing/>
      </w:pPr>
      <w:r>
        <w:t xml:space="preserve">•  </w:t>
      </w:r>
      <w:r>
        <w:rPr>
          <w:b/>
        </w:rPr>
        <w:t xml:space="preserve">Fórmula:</w:t>
      </w:r>
      <w:r>
        <w:t xml:space="preserve"> </w:t>
      </w:r>
      <m:oMath>
        <m:r>
          <m:t xml:space="preserve">VPP = </m:t>
        </m:r>
        <m:f>
          <m:num>
            <m:r>
              <m:t xml:space="preserve">VP</m:t>
            </m:r>
          </m:num>
          <m:den>
            <m:r>
              <m:t xml:space="preserve">VP + FP</m:t>
            </m:r>
          </m:den>
        </m:f>
        <m:r>
          <m:t xml:space="preserve"> = </m:t>
        </m:r>
        <m:f>
          <m:num>
            <m:r>
              <m:t xml:space="preserve">a</m:t>
            </m:r>
          </m:num>
          <m:den>
            <m:r>
              <m:t xml:space="preserve">a + b</m:t>
            </m:r>
          </m:den>
        </m:f>
      </m:oMath>
      <w:r>
        <w:t xml:space="preserve"> 31, 32.</w:t>
      </w:r>
    </w:p>
    <w:p>
      <w:pPr>
        <w:pStyle w:val="Heading3"/>
      </w:pPr>
      <w:r>
        <w:t xml:space="preserve">4.2 Valor Predictivo Negativo (VPN)</w:t>
      </w:r>
    </w:p>
    <w:p>
      <w:r>
        <w:t xml:space="preserve">Es la probabilidad de que un individuo con resultado negativo en la prueba esté realmente sano 31-33.</w:t>
      </w:r>
    </w:p>
    <w:p>
      <w:pPr>
        <w:pStyle w:val="ListParagraph"/>
        <w:spacing w:after="60"/>
        <w:ind w:left="360" w:hanging="260"/>
        <w:contextualSpacing/>
      </w:pPr>
      <w:r>
        <w:t xml:space="preserve">•  </w:t>
      </w:r>
      <w:r>
        <w:rPr>
          <w:b/>
        </w:rPr>
        <w:t xml:space="preserve">Fórmula:</w:t>
      </w:r>
      <w:r>
        <w:t xml:space="preserve"> </w:t>
      </w:r>
      <m:oMath>
        <m:r>
          <m:t xml:space="preserve">VPN = </m:t>
        </m:r>
        <m:f>
          <m:num>
            <m:r>
              <m:t xml:space="preserve">VN</m:t>
            </m:r>
          </m:num>
          <m:den>
            <m:r>
              <m:t xml:space="preserve">VN + FN</m:t>
            </m:r>
          </m:den>
        </m:f>
        <m:r>
          <m:t xml:space="preserve"> = </m:t>
        </m:r>
        <m:f>
          <m:num>
            <m:r>
              <m:t xml:space="preserve">d</m:t>
            </m:r>
          </m:num>
          <m:den>
            <m:r>
              <m:t xml:space="preserve">c + d</m:t>
            </m:r>
          </m:den>
        </m:f>
      </m:oMath>
      <w:r>
        <w:t xml:space="preserve"> 31, 32.</w:t>
      </w:r>
    </w:p>
    <w:p>
      <w:pPr>
        <w:pStyle w:val="Heading3"/>
      </w:pPr>
      <w:r>
        <w:t xml:space="preserve">4.3 El Efecto de la Prevalencia</w:t>
      </w:r>
    </w:p>
    <w:p>
      <w:r>
        <w:t xml:space="preserve">Este es un concepto fundamental: en poblaciones con baja prevalencia (tamizaje general), el VPP disminuye drásticamente, lo que genera una alta carga de falsos positivos 31, 32, 34, 35. Por el contrario, en poblaciones con alta prevalencia (clínica de referencia o pacientes hospitalizados), el VPP aumenta considerablemente 28, 29.</w:t>
      </w:r>
    </w:p>
    <w:p>
      <w:pPr>
        <w:pStyle w:val="Heading2"/>
      </w:pPr>
      <w:r>
        <w:t xml:space="preserve">V. Razones de Verosimilitud (Likelihood Ratios) y Curva ROC 🧮</w:t>
      </w:r>
    </w:p>
    <w:p>
      <w:pPr>
        <w:pStyle w:val="Heading3"/>
      </w:pPr>
      <w:r>
        <w:t xml:space="preserve">5.1 Razones de Verosimilitud (RV)</w:t>
      </w:r>
    </w:p>
    <w:p>
      <w:r>
        <w:t xml:space="preserve">Miden cuánto modifica el resultado de la prueba la probabilidad previa de padecer la enfermedad (probabilidad pre-prueba) 28, 29, 36. Su gran ventaja es que no dependen de la prevalencia 28, 29, 36.</w:t>
      </w:r>
    </w:p>
    <w:p>
      <w:pPr>
        <w:pStyle w:val="ListParagraph"/>
        <w:spacing w:after="60"/>
        <w:ind w:left="360" w:hanging="260"/>
        <w:contextualSpacing/>
      </w:pPr>
      <w:r>
        <w:t xml:space="preserve">•  </w:t>
      </w:r>
      <w:r>
        <w:rPr>
          <w:b/>
        </w:rPr>
        <w:t xml:space="preserve">RV+ (Positiva):</w:t>
      </w:r>
      <w:r>
        <w:t xml:space="preserve"> </w:t>
      </w:r>
      <m:oMath>
        <m:r>
          <m:t xml:space="preserve">RV+ = </m:t>
        </m:r>
        <m:f>
          <m:num>
            <m:r>
              <m:t xml:space="preserve">Sensibilidad</m:t>
            </m:r>
          </m:num>
          <m:den>
            <m:r>
              <m:t xml:space="preserve">1 - Especificidad</m:t>
            </m:r>
          </m:den>
        </m:f>
      </m:oMath>
      <w:r>
        <w:t xml:space="preserve"> 37, 38.</w:t>
      </w:r>
    </w:p>
    <w:p>
      <w:pPr>
        <w:pStyle w:val="ListParagraph"/>
        <w:spacing w:after="60"/>
        <w:ind w:left="720" w:hanging="260"/>
        <w:contextualSpacing/>
      </w:pPr>
      <w:r>
        <w:t xml:space="preserve">–  </w:t>
      </w:r>
      <w:r>
        <w:t xml:space="preserve">Un valor </w:t>
      </w:r>
      <m:oMath>
        <m:r>
          <m:t xml:space="preserve">&gt; 10</m:t>
        </m:r>
      </m:oMath>
      <w:r>
        <w:t xml:space="preserve"> indica que la prueba tiene un gran valor diagnóstico para confirmar la enfermedad 37-39.</w:t>
      </w:r>
    </w:p>
    <w:p>
      <w:pPr>
        <w:pStyle w:val="ListParagraph"/>
        <w:spacing w:after="60"/>
        <w:ind w:left="360" w:hanging="260"/>
        <w:contextualSpacing/>
      </w:pPr>
      <w:r>
        <w:t xml:space="preserve">•  </w:t>
      </w:r>
      <w:r>
        <w:rPr>
          <w:b/>
        </w:rPr>
        <w:t xml:space="preserve">RV– (Negativa):</w:t>
      </w:r>
      <w:r>
        <w:t xml:space="preserve"> </w:t>
      </w:r>
      <m:oMath>
        <m:r>
          <m:t xml:space="preserve">RV- = </m:t>
        </m:r>
        <m:f>
          <m:num>
            <m:r>
              <m:t xml:space="preserve">1 - Sensibilidad</m:t>
            </m:r>
          </m:num>
          <m:den>
            <m:r>
              <m:t xml:space="preserve">Especificidad</m:t>
            </m:r>
          </m:den>
        </m:f>
      </m:oMath>
      <w:r>
        <w:t xml:space="preserve"> 37, 38.</w:t>
      </w:r>
    </w:p>
    <w:p>
      <w:pPr>
        <w:pStyle w:val="ListParagraph"/>
        <w:spacing w:after="60"/>
        <w:ind w:left="720" w:hanging="260"/>
        <w:contextualSpacing/>
      </w:pPr>
      <w:r>
        <w:t xml:space="preserve">–  </w:t>
      </w:r>
      <w:r>
        <w:t xml:space="preserve">Un valor </w:t>
      </w:r>
      <m:oMath>
        <m:r>
          <m:t xml:space="preserve">&lt; 0,1</m:t>
        </m:r>
      </m:oMath>
      <w:r>
        <w:t xml:space="preserve"> indica que la prueba es excelente para descartar la enfermedad 37-39.</w:t>
      </w:r>
    </w:p>
    <w:p>
      <w:pPr>
        <w:pStyle w:val="Heading3"/>
      </w:pPr>
      <w:r>
        <w:t xml:space="preserve">5.2 Curva ROC (Receiver Operating Characteristic)</w:t>
      </w:r>
    </w:p>
    <w:p>
      <w:r>
        <w:t xml:space="preserve">Es una representación gráfica de la sensibilidad frente a la fracción de falsos positivos (1–Especificidad) para todos los posibles puntos de corte de una prueba continua 36, 40, 41.</w:t>
      </w:r>
    </w:p>
    <w:p>
      <w:pPr>
        <w:pStyle w:val="ListParagraph"/>
        <w:spacing w:after="60"/>
        <w:ind w:left="360" w:hanging="260"/>
        <w:contextualSpacing/>
      </w:pPr>
      <w:r>
        <w:t xml:space="preserve">•  </w:t>
      </w:r>
      <w:r>
        <w:rPr>
          <w:b/>
        </w:rPr>
        <w:t xml:space="preserve">AUC (Área Bajo la Curva):</w:t>
      </w:r>
      <w:r>
        <w:t xml:space="preserve"> Mide la discriminación global de la prueba 36, 40, 41.</w:t>
      </w:r>
    </w:p>
    <w:p>
      <w:pPr>
        <w:pStyle w:val="ListParagraph"/>
        <w:spacing w:after="60"/>
        <w:ind w:left="720" w:hanging="260"/>
        <w:contextualSpacing/>
      </w:pPr>
      <w:r>
        <w:t xml:space="preserve">–  </w:t>
      </w:r>
      <m:oMath>
        <m:r>
          <m:t xml:space="preserve">≥ 0,9</m:t>
        </m:r>
      </m:oMath>
      <w:r>
        <w:t xml:space="preserve">: Excelente discriminación 40, 41.</w:t>
      </w:r>
    </w:p>
    <w:p>
      <w:pPr>
        <w:pStyle w:val="ListParagraph"/>
        <w:spacing w:after="60"/>
        <w:ind w:left="720" w:hanging="260"/>
        <w:contextualSpacing/>
      </w:pPr>
      <w:r>
        <w:t xml:space="preserve">–  </w:t>
      </w:r>
      <m:oMath>
        <m:r>
          <m:t xml:space="preserve">0,7 - 0,8</m:t>
        </m:r>
      </m:oMath>
      <w:r>
        <w:t xml:space="preserve">: Aceptable 40, 41.</w:t>
      </w:r>
    </w:p>
    <w:p>
      <w:pPr>
        <w:pStyle w:val="ListParagraph"/>
        <w:spacing w:after="60"/>
        <w:ind w:left="720" w:hanging="260"/>
        <w:contextualSpacing/>
      </w:pPr>
      <w:r>
        <w:t xml:space="preserve">–  </w:t>
      </w:r>
      <m:oMath>
        <m:r>
          <m:t xml:space="preserve">&lt; 0,7</m:t>
        </m:r>
      </m:oMath>
      <w:r>
        <w:t xml:space="preserve">: Pobre 40, 41.</w:t>
      </w:r>
    </w:p>
    <w:p>
      <w:pPr>
        <w:pStyle w:val="Heading2"/>
      </w:pPr>
      <w:r>
        <w:t xml:space="preserve">VI. Fiabilidad, Reproducibilidad y Estadístico Kappa 🧮</w:t>
      </w:r>
    </w:p>
    <w:p>
      <w:pPr>
        <w:pStyle w:val="Heading3"/>
      </w:pPr>
      <w:r>
        <w:t xml:space="preserve">6.1 Concepto de Fiabilidad</w:t>
      </w:r>
    </w:p>
    <w:p>
      <w:r>
        <w:t xml:space="preserve">La fiabilidad o reproducibilidad mide si se obtiene el mismo resultado al repetir una prueba en idénticas condiciones 40-42. Se evalúa mediante tres variaciones: intrasujeto, intraobservador e interobservador 40-42.</w:t>
      </w:r>
    </w:p>
    <w:p>
      <w:pPr>
        <w:pStyle w:val="Heading3"/>
      </w:pPr>
      <w:r>
        <w:t xml:space="preserve">6.2 Estadístico Kappa (K)</w:t>
      </w:r>
    </w:p>
    <w:p>
      <w:r>
        <w:t xml:space="preserve">Mide el grado de acuerdo entre observadores o pruebas, descontando el acuerdo que ocurriría simplemente por azar 43-46.</w:t>
      </w:r>
    </w:p>
    <w:p>
      <w:pPr>
        <w:pStyle w:val="ListParagraph"/>
        <w:spacing w:after="60"/>
        <w:ind w:left="360" w:hanging="260"/>
        <w:contextualSpacing/>
      </w:pPr>
      <w:r>
        <w:t xml:space="preserve">•  </w:t>
      </w:r>
      <w:r>
        <w:rPr>
          <w:b/>
        </w:rPr>
        <w:t xml:space="preserve">Fórmula:</w:t>
      </w:r>
      <w:r>
        <w:t xml:space="preserve"> </w:t>
      </w:r>
      <m:oMath>
        <m:r>
          <m:t xml:space="preserve">K = </m:t>
        </m:r>
        <m:f>
          <m:num>
            <m:r>
              <m:t xml:space="preserve">% Acuerdo Observado - % Acuerdo Esperado</m:t>
            </m:r>
          </m:num>
          <m:den>
            <m:r>
              <m:t xml:space="preserve">100% - % Acuerdo Esperado</m:t>
            </m:r>
          </m:den>
        </m:f>
      </m:oMath>
      <w:r>
        <w:t xml:space="preserve"> 43, 45, 46.</w:t>
      </w:r>
    </w:p>
    <w:p>
      <w:r>
        <w:rPr>
          <w:b/>
        </w:rPr>
        <w:t xml:space="preserve">Escala de Landis y Koch para interpretación de K:</w:t>
      </w:r>
    </w:p>
    <w:p>
      <w:pPr>
        <w:pStyle w:val="ListParagraph"/>
        <w:spacing w:after="60"/>
        <w:ind w:left="360" w:hanging="260"/>
        <w:contextualSpacing/>
      </w:pPr>
      <w:r>
        <w:t xml:space="preserve">•  </w:t>
      </w:r>
      <m:oMath>
        <m:r>
          <m:t xml:space="preserve">&lt; 0,20</m:t>
        </m:r>
      </m:oMath>
      <w:r>
        <w:t xml:space="preserve">: Muy baja concordancia 44, 47, 48.</w:t>
      </w:r>
    </w:p>
    <w:p>
      <w:pPr>
        <w:pStyle w:val="ListParagraph"/>
        <w:spacing w:after="60"/>
        <w:ind w:left="360" w:hanging="260"/>
        <w:contextualSpacing/>
      </w:pPr>
      <w:r>
        <w:t xml:space="preserve">•  </w:t>
      </w:r>
      <m:oMath>
        <m:r>
          <m:t xml:space="preserve">0,40 - 0,60</m:t>
        </m:r>
      </m:oMath>
      <w:r>
        <w:t xml:space="preserve">: Moderada 44, 47, 48.</w:t>
      </w:r>
    </w:p>
    <w:p>
      <w:pPr>
        <w:pStyle w:val="ListParagraph"/>
        <w:spacing w:after="60"/>
        <w:ind w:left="360" w:hanging="260"/>
        <w:contextualSpacing/>
      </w:pPr>
      <w:r>
        <w:t xml:space="preserve">•  </w:t>
      </w:r>
      <m:oMath>
        <m:r>
          <m:t xml:space="preserve">0,60 - 0,80</m:t>
        </m:r>
      </m:oMath>
      <w:r>
        <w:t xml:space="preserve">: Buena 44, 47, 48.</w:t>
      </w:r>
    </w:p>
    <w:p>
      <w:pPr>
        <w:pStyle w:val="ListParagraph"/>
        <w:spacing w:after="60"/>
        <w:ind w:left="360" w:hanging="260"/>
        <w:contextualSpacing/>
      </w:pPr>
      <w:r>
        <w:t xml:space="preserve">•  </w:t>
      </w:r>
      <m:oMath>
        <m:r>
          <m:t xml:space="preserve">0,80 - 1,00</m:t>
        </m:r>
      </m:oMath>
      <w:r>
        <w:t xml:space="preserve">: Muy buena (se acerca a la concordancia perfecta) 44, 47, 48.</w:t>
      </w:r>
    </w:p>
    <w:p>
      <w:pPr>
        <w:pStyle w:val="Heading2"/>
      </w:pPr>
      <w:r>
        <w:t xml:space="preserve">VII. Estrategias de Pruebas Múltiples</w:t>
      </w:r>
    </w:p>
    <w:p>
      <w:pPr>
        <w:pStyle w:val="Heading3"/>
      </w:pPr>
      <w:r>
        <w:t xml:space="preserve">7.1 Pruebas Secuenciales</w:t>
      </w:r>
    </w:p>
    <w:p>
      <w:r>
        <w:t xml:space="preserve">La segunda prueba solo se aplica a los individuos que resultaron positivos en la primera 44, 47, 48.</w:t>
      </w:r>
    </w:p>
    <w:p>
      <w:pPr>
        <w:pStyle w:val="ListParagraph"/>
        <w:spacing w:after="60"/>
        <w:ind w:left="360" w:hanging="260"/>
        <w:contextualSpacing/>
      </w:pPr>
      <w:r>
        <w:t xml:space="preserve">•  </w:t>
      </w:r>
      <w:r>
        <w:rPr>
          <w:b/>
        </w:rPr>
        <w:t xml:space="preserve">Objetivo:</w:t>
      </w:r>
      <w:r>
        <w:t xml:space="preserve"> Reducir los falsos positivos y aumentar la especificidad neta 44, 47, 48.</w:t>
      </w:r>
    </w:p>
    <w:p>
      <w:pPr>
        <w:pStyle w:val="ListParagraph"/>
        <w:spacing w:after="60"/>
        <w:ind w:left="360" w:hanging="260"/>
        <w:contextualSpacing/>
      </w:pPr>
      <w:r>
        <w:t xml:space="preserve">•  </w:t>
      </w:r>
      <w:r>
        <w:rPr>
          <w:b/>
        </w:rPr>
        <w:t xml:space="preserve">Uso:</w:t>
      </w:r>
      <w:r>
        <w:t xml:space="preserve"> Casos donde el costo de un falso positivo es muy alto (ej. cirugías innecesarias) 19-21, 44.</w:t>
      </w:r>
    </w:p>
    <w:p>
      <w:pPr>
        <w:pStyle w:val="Heading3"/>
      </w:pPr>
      <w:r>
        <w:t xml:space="preserve">7.2 Pruebas Simultáneas</w:t>
      </w:r>
    </w:p>
    <w:p>
      <w:r>
        <w:t xml:space="preserve">Se considera positivo si al menos una de las pruebas arroja un resultado positivo 20, 21, 44.</w:t>
      </w:r>
    </w:p>
    <w:p>
      <w:pPr>
        <w:pStyle w:val="ListParagraph"/>
        <w:spacing w:after="60"/>
        <w:ind w:left="360" w:hanging="260"/>
        <w:contextualSpacing/>
      </w:pPr>
      <w:r>
        <w:t xml:space="preserve">•  </w:t>
      </w:r>
      <w:r>
        <w:rPr>
          <w:b/>
        </w:rPr>
        <w:t xml:space="preserve">Objetivo:</w:t>
      </w:r>
      <w:r>
        <w:t xml:space="preserve"> Maximizar la detección de enfermos y aumentar la sensibilidad neta 20, 21, 44.</w:t>
      </w:r>
    </w:p>
    <w:p>
      <w:pPr>
        <w:pStyle w:val="ListParagraph"/>
        <w:spacing w:after="60"/>
        <w:ind w:left="360" w:hanging="260"/>
        <w:contextualSpacing/>
      </w:pPr>
      <w:r>
        <w:t xml:space="preserve">•  </w:t>
      </w:r>
      <w:r>
        <w:rPr>
          <w:b/>
        </w:rPr>
        <w:t xml:space="preserve">Uso:</w:t>
      </w:r>
      <w:r>
        <w:t xml:space="preserve"> Escenarios de urgencias o enfermedades letales donde no se puede permitir ningún falso negativo 19-21.</w:t>
      </w:r>
    </w:p>
    <w:p>
      <w:pPr>
        <w:pStyle w:val="Heading2"/>
      </w:pPr>
      <w:r>
        <w:t xml:space="preserve">VIII. Ejercicio Numérico Resuelto Completo (Ejemplo Integrador) 🧮</w:t>
      </w:r>
    </w:p>
    <w:p>
      <w:r>
        <w:rPr>
          <w:b/>
        </w:rPr>
        <w:t xml:space="preserve">Escenario:</w:t>
      </w:r>
      <w:r>
        <w:t xml:space="preserve"> Se aplica una prueba tamiz para VIH en una población de 1.000 individuos con una prevalencia del 20% (200 enfermos y 800 sanos) 17, 18. Los resultados obtenidos son: 160 VP, 40 FN, 100 FP, 700 VN 17, 18.</w:t>
      </w:r>
    </w:p>
    <w:p>
      <w:pPr>
        <w:pStyle w:val="ListParagraph"/>
        <w:spacing w:after="60"/>
        <w:ind w:left="360" w:hanging="260"/>
        <w:contextualSpacing/>
      </w:pPr>
      <w:r>
        <w:t xml:space="preserve">•  </w:t>
      </w:r>
      <w:r>
        <w:rPr>
          <w:b/>
        </w:rPr>
        <w:t xml:space="preserve">Sensibilidad (S):</w:t>
      </w:r>
      <w:r>
        <w:t xml:space="preserve"> </w:t>
      </w:r>
      <m:oMath>
        <m:r>
          <m:t xml:space="preserve">160 / 200 = 0,80</m:t>
        </m:r>
      </m:oMath>
      <w:r>
        <w:t xml:space="preserve"> (80%) 25, 26.</w:t>
      </w:r>
    </w:p>
    <w:p>
      <w:pPr>
        <w:pStyle w:val="ListParagraph"/>
        <w:spacing w:after="60"/>
        <w:ind w:left="360" w:hanging="260"/>
        <w:contextualSpacing/>
      </w:pPr>
      <w:r>
        <w:t xml:space="preserve">•  </w:t>
      </w:r>
      <w:r>
        <w:rPr>
          <w:b/>
        </w:rPr>
        <w:t xml:space="preserve">Especificidad (E):</w:t>
      </w:r>
      <w:r>
        <w:t xml:space="preserve"> </w:t>
      </w:r>
      <m:oMath>
        <m:r>
          <m:t xml:space="preserve">700 / 800 = 0,875</m:t>
        </m:r>
      </m:oMath>
      <w:r>
        <w:t xml:space="preserve"> (87,5%) 25, 26.</w:t>
      </w:r>
    </w:p>
    <w:p>
      <w:pPr>
        <w:pStyle w:val="ListParagraph"/>
        <w:spacing w:after="60"/>
        <w:ind w:left="360" w:hanging="260"/>
        <w:contextualSpacing/>
      </w:pPr>
      <w:r>
        <w:t xml:space="preserve">•  </w:t>
      </w:r>
      <w:r>
        <w:rPr>
          <w:b/>
        </w:rPr>
        <w:t xml:space="preserve">Valor Predictivo Positivo (VPP):</w:t>
      </w:r>
      <w:r>
        <w:t xml:space="preserve"> </w:t>
      </w:r>
      <m:oMath>
        <m:r>
          <m:t xml:space="preserve">160 / (160 + 100) = 160 / 260 = 0,615</m:t>
        </m:r>
      </m:oMath>
      <w:r>
        <w:t xml:space="preserve"> (61,5%) 31, 32.</w:t>
      </w:r>
    </w:p>
    <w:p>
      <w:pPr>
        <w:pStyle w:val="ListParagraph"/>
        <w:spacing w:after="60"/>
        <w:ind w:left="360" w:hanging="260"/>
        <w:contextualSpacing/>
      </w:pPr>
      <w:r>
        <w:t xml:space="preserve">•  </w:t>
      </w:r>
      <w:r>
        <w:rPr>
          <w:b/>
        </w:rPr>
        <w:t xml:space="preserve">Valor Predictivo Negativo (VPN):</w:t>
      </w:r>
      <w:r>
        <w:t xml:space="preserve"> </w:t>
      </w:r>
      <m:oMath>
        <m:r>
          <m:t xml:space="preserve">700 / (700 + 40) = 700 / 740 = 0,946</m:t>
        </m:r>
      </m:oMath>
      <w:r>
        <w:t xml:space="preserve"> (94,6%) 31, 32.</w:t>
      </w:r>
    </w:p>
    <w:p>
      <w:pPr>
        <w:pStyle w:val="ListParagraph"/>
        <w:spacing w:after="60"/>
        <w:ind w:left="360" w:hanging="260"/>
        <w:contextualSpacing/>
      </w:pPr>
      <w:r>
        <w:t xml:space="preserve">•  </w:t>
      </w:r>
      <w:r>
        <w:rPr>
          <w:b/>
        </w:rPr>
        <w:t xml:space="preserve">RV+:</w:t>
      </w:r>
      <w:r>
        <w:t xml:space="preserve"> </w:t>
      </w:r>
      <m:oMath>
        <m:r>
          <m:t xml:space="preserve">0,80 / (1 - 0,875) = 0,80 / 0,125 = 6,4</m:t>
        </m:r>
      </m:oMath>
      <w:r>
        <w:t xml:space="preserve">.</w:t>
      </w:r>
    </w:p>
    <w:p>
      <w:pPr>
        <w:pStyle w:val="ListParagraph"/>
        <w:spacing w:after="60"/>
        <w:ind w:left="360" w:hanging="260"/>
        <w:contextualSpacing/>
      </w:pPr>
      <w:r>
        <w:t xml:space="preserve">•  </w:t>
      </w:r>
      <w:r>
        <w:rPr>
          <w:b/>
        </w:rPr>
        <w:t xml:space="preserve">RV–:</w:t>
      </w:r>
      <w:r>
        <w:t xml:space="preserve"> </w:t>
      </w:r>
      <m:oMath>
        <m:r>
          <m:t xml:space="preserve">(1 - 0,80) / 0,875 = 0,20 / 0,875 = 0,22</m:t>
        </m:r>
      </m:oMath>
      <w:r>
        <w:t xml:space="preserve">.</w:t>
      </w:r>
    </w:p>
    <w:p>
      <w:r>
        <w:rPr>
          <w:b/>
        </w:rPr>
        <w:t xml:space="preserve">Interpretación clínica:</w:t>
      </w:r>
      <w:r>
        <w:t xml:space="preserve"> La prueba tiene una buena capacidad para descartar sanos (E=87,5%) y detectar enfermos (S=80%). Sin embargo, ante un resultado positivo, la probabilidad real de estar enfermo es del 61,5% (VPP), lo que confirma la necesidad de una prueba de oro para el diagnóstico definitivo 17, 30, 31, 33.</w:t>
      </w:r>
    </w:p>
    <w:p>
      <w:pPr>
        <w:pStyle w:val="Heading1"/>
      </w:pPr>
      <w:r>
        <w:t xml:space="preserve">TEMA 2 — Métricas de Eficacia y Seguridad en Ensayos Clínicos 🧮</w:t>
      </w:r>
    </w:p>
    <w:p>
      <w:pPr>
        <w:pStyle w:val="Heading2"/>
      </w:pPr>
      <w:r>
        <w:t xml:space="preserve">I. Definición Normativa y Marco Regulatorio</w:t>
      </w:r>
    </w:p>
    <w:p>
      <w:pPr>
        <w:pStyle w:val="Heading3"/>
      </w:pPr>
      <w:r>
        <w:t xml:space="preserve">1.1 Definición de Ensayo Clínico (Resolución 2378 de 2008)</w:t>
      </w:r>
    </w:p>
    <w:p>
      <w:r>
        <w:t xml:space="preserve">De acuerdo con la normativa colombiana vigente, específicamente la Resolución 2378 de 2008, un ensayo clínico se define como toda investigación efectuada en seres humanos que está orientada a:</w:t>
      </w:r>
    </w:p>
    <w:p>
      <w:pPr>
        <w:pStyle w:val="ListParagraph"/>
        <w:spacing w:after="60"/>
        <w:ind w:left="360" w:hanging="260"/>
        <w:contextualSpacing/>
      </w:pPr>
      <w:r>
        <w:t xml:space="preserve">•  </w:t>
      </w:r>
      <w:r>
        <w:t xml:space="preserve">Descubrir o verificar efectos clínicos, farmacológicos y/o farmacodinámicos de un producto en investigación.</w:t>
      </w:r>
    </w:p>
    <w:p>
      <w:pPr>
        <w:pStyle w:val="ListParagraph"/>
        <w:spacing w:after="60"/>
        <w:ind w:left="360" w:hanging="260"/>
        <w:contextualSpacing/>
      </w:pPr>
      <w:r>
        <w:t xml:space="preserve">•  </w:t>
      </w:r>
      <w:r>
        <w:t xml:space="preserve">Identificar cualquier reacción adversa al producto.</w:t>
      </w:r>
    </w:p>
    <w:p>
      <w:pPr>
        <w:pStyle w:val="ListParagraph"/>
        <w:spacing w:after="60"/>
        <w:ind w:left="360" w:hanging="260"/>
        <w:contextualSpacing/>
      </w:pPr>
      <w:r>
        <w:t xml:space="preserve">•  </w:t>
      </w:r>
      <w:r>
        <w:t xml:space="preserve">Estudiar la ADME (Absorción, Distribución, Metabolismo y Excreción) del fármaco con el fin de comprobar su seguridad y eficacia.</w:t>
      </w:r>
    </w:p>
    <w:p>
      <w:r>
        <w:t xml:space="preserve">Este tipo de estudio se ubica dentro de la investigación experimental o de intervención, donde el investigador tiene el control absoluto sobre la asignación de la exposición.</w:t>
      </w:r>
    </w:p>
    <w:p>
      <w:pPr>
        <w:pStyle w:val="Heading2"/>
      </w:pPr>
      <w:r>
        <w:t xml:space="preserve">II. Propósitos de la Investigación Clínica</w:t>
      </w:r>
    </w:p>
    <w:p>
      <w:r>
        <w:t xml:space="preserve">El desarrollo de un medicamento es un proceso riguroso que toma entre 12 y 15 años, con una tasa de éxito de apenas el 10-12%. Sus pilares son:</w:t>
      </w:r>
    </w:p>
    <w:p>
      <w:pPr>
        <w:pStyle w:val="Heading3"/>
      </w:pPr>
      <w:r>
        <w:t xml:space="preserve">2.1 Seguridad</w:t>
      </w:r>
    </w:p>
    <w:p>
      <w:r>
        <w:t xml:space="preserve">Busca identificar reacciones adversas y efectos indeseados para evaluar el perfil de riesgo del fármaco. Es el objetivo primordial en las fases iniciales (Fase I).</w:t>
      </w:r>
    </w:p>
    <w:p>
      <w:pPr>
        <w:pStyle w:val="Heading3"/>
      </w:pPr>
      <w:r>
        <w:t xml:space="preserve">2.2 Eficacia</w:t>
      </w:r>
    </w:p>
    <w:p>
      <w:r>
        <w:t xml:space="preserve">Comprobar que el tratamiento produce el efecto terapéutico esperado en la población objetivo. La eficacia definitiva se establece principalmente en los Ensayos Clínicos Aleatorizados (ECA) de Fase III.</w:t>
      </w:r>
    </w:p>
    <w:p>
      <w:pPr>
        <w:pStyle w:val="Heading3"/>
      </w:pPr>
      <w:r>
        <w:t xml:space="preserve">2.3 Estudio ADME</w:t>
      </w:r>
    </w:p>
    <w:p>
      <w:pPr>
        <w:pStyle w:val="ListParagraph"/>
        <w:spacing w:after="60"/>
        <w:ind w:left="360" w:hanging="260"/>
        <w:contextualSpacing/>
      </w:pPr>
      <w:r>
        <w:t xml:space="preserve">•  </w:t>
      </w:r>
      <w:r>
        <w:rPr>
          <w:b/>
        </w:rPr>
        <w:t xml:space="preserve">Absorción:</w:t>
      </w:r>
      <w:r>
        <w:t xml:space="preserve"> Cómo ingresa el fármaco al organismo.</w:t>
      </w:r>
    </w:p>
    <w:p>
      <w:pPr>
        <w:pStyle w:val="ListParagraph"/>
        <w:spacing w:after="60"/>
        <w:ind w:left="360" w:hanging="260"/>
        <w:contextualSpacing/>
      </w:pPr>
      <w:r>
        <w:t xml:space="preserve">•  </w:t>
      </w:r>
      <w:r>
        <w:rPr>
          <w:b/>
        </w:rPr>
        <w:t xml:space="preserve">Distribución:</w:t>
      </w:r>
      <w:r>
        <w:t xml:space="preserve"> Cómo se reparte en los diferentes tejidos.</w:t>
      </w:r>
    </w:p>
    <w:p>
      <w:pPr>
        <w:pStyle w:val="ListParagraph"/>
        <w:spacing w:after="60"/>
        <w:ind w:left="360" w:hanging="260"/>
        <w:contextualSpacing/>
      </w:pPr>
      <w:r>
        <w:t xml:space="preserve">•  </w:t>
      </w:r>
      <w:r>
        <w:rPr>
          <w:b/>
        </w:rPr>
        <w:t xml:space="preserve">Metabolismo:</w:t>
      </w:r>
      <w:r>
        <w:t xml:space="preserve"> Cómo se transforma el principio activo.</w:t>
      </w:r>
    </w:p>
    <w:p>
      <w:pPr>
        <w:pStyle w:val="ListParagraph"/>
        <w:spacing w:after="60"/>
        <w:ind w:left="360" w:hanging="260"/>
        <w:contextualSpacing/>
      </w:pPr>
      <w:r>
        <w:t xml:space="preserve">•  </w:t>
      </w:r>
      <w:r>
        <w:rPr>
          <w:b/>
        </w:rPr>
        <w:t xml:space="preserve">Excreción:</w:t>
      </w:r>
      <w:r>
        <w:t xml:space="preserve"> Cómo se elimina la sustancia del cuerpo.</w:t>
      </w:r>
    </w:p>
    <w:p>
      <w:pPr>
        <w:pStyle w:val="Heading2"/>
      </w:pPr>
      <w:r>
        <w:t xml:space="preserve">III. Pilares del Diseño del Ensayo Clínico</w:t>
      </w:r>
    </w:p>
    <w:p>
      <w:r>
        <w:t xml:space="preserve">Para garantizar la validez interna de los resultados, los ECA se basan en tres pilares fundamentales:</w:t>
      </w:r>
    </w:p>
    <w:p>
      <w:pPr>
        <w:pStyle w:val="Heading3"/>
      </w:pPr>
      <w:r>
        <w:t xml:space="preserve">3.1 Aleatorización (Randomización)</w:t>
      </w:r>
    </w:p>
    <w:p>
      <w:r>
        <w:t xml:space="preserve">Consiste en la asignación aleatoria e impredecible de los participantes a los grupos de estudio (experimental vs. control).</w:t>
      </w:r>
    </w:p>
    <w:p>
      <w:pPr>
        <w:pStyle w:val="ListParagraph"/>
        <w:spacing w:after="60"/>
        <w:ind w:left="360" w:hanging="260"/>
        <w:contextualSpacing/>
      </w:pPr>
      <w:r>
        <w:t xml:space="preserve">•  </w:t>
      </w:r>
      <w:r>
        <w:rPr>
          <w:b/>
        </w:rPr>
        <w:t xml:space="preserve">Mecanismo:</w:t>
      </w:r>
      <w:r>
        <w:t xml:space="preserve"> Balancea factores pronósticos conocidos y desconocidos.</w:t>
      </w:r>
    </w:p>
    <w:p>
      <w:pPr>
        <w:pStyle w:val="ListParagraph"/>
        <w:spacing w:after="60"/>
        <w:ind w:left="360" w:hanging="260"/>
        <w:contextualSpacing/>
      </w:pPr>
      <w:r>
        <w:t xml:space="preserve">•  </w:t>
      </w:r>
      <w:r>
        <w:rPr>
          <w:b/>
        </w:rPr>
        <w:t xml:space="preserve">Aplicación:</w:t>
      </w:r>
      <w:r>
        <w:t xml:space="preserve"> Es la única estrategia capaz de controlar los factores de confusión no medidos.</w:t>
      </w:r>
    </w:p>
    <w:p>
      <w:pPr>
        <w:pStyle w:val="Heading3"/>
      </w:pPr>
      <w:r>
        <w:t xml:space="preserve">3.2 El Grupo Control</w:t>
      </w:r>
    </w:p>
    <w:p>
      <w:r>
        <w:t xml:space="preserve">Es esencial para distinguir el efecto real del tratamiento de otros fenómenos que pueden simular una mejoría. El investigador debe controlar los siguientes efectos:</w:t>
      </w:r>
    </w:p>
    <w:p>
      <w:pPr>
        <w:pStyle w:val="ListParagraph"/>
        <w:spacing w:after="60"/>
        <w:ind w:left="360" w:hanging="260"/>
        <w:contextualSpacing/>
      </w:pPr>
      <w:r>
        <w:t xml:space="preserve">•  </w:t>
      </w:r>
      <w:r>
        <w:rPr>
          <w:b/>
        </w:rPr>
        <w:t xml:space="preserve">Efecto Placebo:</w:t>
      </w:r>
      <w:r>
        <w:t xml:space="preserve"> Mejoría que experimenta el paciente debido a la expectativa del tratamiento y no por el principio activo.</w:t>
      </w:r>
    </w:p>
    <w:p>
      <w:pPr>
        <w:pStyle w:val="ListParagraph"/>
        <w:spacing w:after="60"/>
        <w:ind w:left="360" w:hanging="260"/>
        <w:contextualSpacing/>
      </w:pPr>
      <w:r>
        <w:t xml:space="preserve">•  </w:t>
      </w:r>
      <w:r>
        <w:rPr>
          <w:b/>
        </w:rPr>
        <w:t xml:space="preserve">Historia Natural:</w:t>
      </w:r>
      <w:r>
        <w:t xml:space="preserve"> La tendencia de algunas enfermedades a mejorar espontáneamente con el tiempo.</w:t>
      </w:r>
    </w:p>
    <w:p>
      <w:pPr>
        <w:pStyle w:val="ListParagraph"/>
        <w:spacing w:after="60"/>
        <w:ind w:left="360" w:hanging="260"/>
        <w:contextualSpacing/>
      </w:pPr>
      <w:r>
        <w:t xml:space="preserve">•  </w:t>
      </w:r>
      <w:r>
        <w:rPr>
          <w:b/>
        </w:rPr>
        <w:t xml:space="preserve">Regresión a la Media:</w:t>
      </w:r>
      <w:r>
        <w:t xml:space="preserve"> Fenómeno estadístico donde valores extremos iniciales tienden a normalizarse en mediciones posteriores.</w:t>
      </w:r>
    </w:p>
    <w:p>
      <w:pPr>
        <w:pStyle w:val="ListParagraph"/>
        <w:spacing w:after="60"/>
        <w:ind w:left="360" w:hanging="260"/>
        <w:contextualSpacing/>
      </w:pPr>
      <w:r>
        <w:t xml:space="preserve">•  </w:t>
      </w:r>
      <w:r>
        <w:rPr>
          <w:b/>
        </w:rPr>
        <w:t xml:space="preserve">Sesgo de Hawthorne:</w:t>
      </w:r>
      <w:r>
        <w:t xml:space="preserve"> Modificación del comportamiento del participante por el simple hecho de saber que está siendo observado.</w:t>
      </w:r>
    </w:p>
    <w:p>
      <w:pPr>
        <w:pStyle w:val="Heading3"/>
      </w:pPr>
      <w:r>
        <w:t xml:space="preserve">3.3 Cegamiento</w:t>
      </w:r>
    </w:p>
    <w:p>
      <w:r>
        <w:t xml:space="preserve">Garantiza que ni el participante ni el evaluador conozcan el tratamiento asignado (Doble Ciego).</w:t>
      </w:r>
    </w:p>
    <w:p>
      <w:pPr>
        <w:pStyle w:val="ListParagraph"/>
        <w:spacing w:after="60"/>
        <w:ind w:left="360" w:hanging="260"/>
        <w:contextualSpacing/>
      </w:pPr>
      <w:r>
        <w:t xml:space="preserve">•  </w:t>
      </w:r>
      <w:r>
        <w:rPr>
          <w:b/>
        </w:rPr>
        <w:t xml:space="preserve">Propósito:</w:t>
      </w:r>
      <w:r>
        <w:t xml:space="preserve"> Minimizar el sesgo de información y el sesgo en la evaluación del desenlace.</w:t>
      </w:r>
    </w:p>
    <w:p>
      <w:pPr>
        <w:pStyle w:val="Heading2"/>
      </w:pPr>
      <w:r>
        <w:t xml:space="preserve">IV. Métricas de Eficacia Clínica 🧮</w:t>
      </w:r>
    </w:p>
    <w:p>
      <w:r>
        <w:t xml:space="preserve">Para el cálculo de estas métricas se utiliza la Tabla de Contingencia 2×2:</w:t>
      </w:r>
    </w:p>
    <w:tbl>
      <w:tblPr>
        <w:tblStyle w:val="GridTable"/>
        <w:tblW w:w="9300" w:type="dxa"/>
        <w:tblBorders>
          <w:top w:val="single" w:sz="4" w:color="9DB7D5"/>
          <w:left w:val="single" w:sz="4" w:color="9DB7D5"/>
          <w:bottom w:val="single" w:sz="4" w:color="9DB7D5"/>
          <w:right w:val="single" w:sz="4" w:color="9DB7D5"/>
          <w:insideH w:val="single" w:sz="4" w:color="D6E0EE"/>
          <w:insideV w:val="single" w:sz="4" w:color="D6E0EE"/>
        </w:tblBorders>
        <w:tblLook w:val="04A0"/>
      </w:tblPr>
      <w:tblGrid>
        <w:gridCol w:w="3900"/>
        <w:gridCol w:w="1800"/>
        <w:gridCol w:w="1800"/>
        <w:gridCol w:w="1800"/>
      </w:tblGrid>
      <w:tr>
        <w:trPr>
          <w:tblHeader/>
        </w:trPr>
        <w:tc>
          <w:tcPr>
            <w:tcW w:w="3900" w:type="dxa"/>
            <w:shd w:val="clear" w:color="auto" w:fill="2E74B5"/>
            <w:vAlign w:val="center"/>
          </w:tcPr>
          <w:p>
            <w:pPr>
              <w:spacing w:before="20" w:after="20"/>
              <w:jc w:val="left"/>
            </w:pPr>
            <w:r>
              <w:rPr>
                <w:b/>
              </w:rPr>
              <w:t xml:space="preserve"/>
            </w:r>
          </w:p>
        </w:tc>
        <w:tc>
          <w:tcPr>
            <w:tcW w:w="1800" w:type="dxa"/>
            <w:shd w:val="clear" w:color="auto" w:fill="2E74B5"/>
            <w:vAlign w:val="center"/>
          </w:tcPr>
          <w:p>
            <w:pPr>
              <w:spacing w:before="20" w:after="20"/>
              <w:jc w:val="center"/>
            </w:pPr>
            <w:r>
              <w:rPr>
                <w:b/>
                <w:color w:val="FFFFFF"/>
              </w:rPr>
              <w:t xml:space="preserve">Evento (+)</w:t>
            </w:r>
          </w:p>
        </w:tc>
        <w:tc>
          <w:tcPr>
            <w:tcW w:w="1800" w:type="dxa"/>
            <w:shd w:val="clear" w:color="auto" w:fill="2E74B5"/>
            <w:vAlign w:val="center"/>
          </w:tcPr>
          <w:p>
            <w:pPr>
              <w:spacing w:before="20" w:after="20"/>
              <w:jc w:val="center"/>
            </w:pPr>
            <w:r>
              <w:rPr>
                <w:b/>
                <w:color w:val="FFFFFF"/>
              </w:rPr>
              <w:t xml:space="preserve">Evento (–)</w:t>
            </w:r>
          </w:p>
        </w:tc>
        <w:tc>
          <w:tcPr>
            <w:tcW w:w="1800" w:type="dxa"/>
            <w:shd w:val="clear" w:color="auto" w:fill="2E74B5"/>
            <w:vAlign w:val="center"/>
          </w:tcPr>
          <w:p>
            <w:pPr>
              <w:spacing w:before="20" w:after="20"/>
              <w:jc w:val="center"/>
            </w:pPr>
            <w:r>
              <w:rPr>
                <w:b/>
                <w:color w:val="FFFFFF"/>
              </w:rPr>
              <w:t xml:space="preserve">Total</w:t>
            </w:r>
          </w:p>
        </w:tc>
      </w:tr>
      <w:tr>
        <w:tc>
          <w:tcPr>
            <w:tcW w:w="3900" w:type="dxa"/>
            <w:shd w:val="clear" w:color="auto" w:fill="EAF1FA"/>
            <w:vAlign w:val="center"/>
          </w:tcPr>
          <w:p>
            <w:pPr>
              <w:spacing w:before="20" w:after="20"/>
              <w:jc w:val="left"/>
            </w:pPr>
            <w:r>
              <w:rPr>
                <w:b/>
              </w:rPr>
              <w:t xml:space="preserve">Expuestos (Grupo Experimental)</w:t>
            </w:r>
          </w:p>
        </w:tc>
        <w:tc>
          <w:tcPr>
            <w:tcW w:w="1800" w:type="dxa"/>
            <w:shd w:val="clear" w:color="auto" w:fill="EAF1FA"/>
            <w:vAlign w:val="center"/>
          </w:tcPr>
          <w:p>
            <w:pPr>
              <w:spacing w:before="20" w:after="20"/>
              <w:jc w:val="center"/>
            </w:pPr>
            <w:r>
              <w:t xml:space="preserve">a</w:t>
            </w:r>
          </w:p>
        </w:tc>
        <w:tc>
          <w:tcPr>
            <w:tcW w:w="1800" w:type="dxa"/>
            <w:shd w:val="clear" w:color="auto" w:fill="EAF1FA"/>
            <w:vAlign w:val="center"/>
          </w:tcPr>
          <w:p>
            <w:pPr>
              <w:spacing w:before="20" w:after="20"/>
              <w:jc w:val="center"/>
            </w:pPr>
            <w:r>
              <w:t xml:space="preserve">b</w:t>
            </w:r>
          </w:p>
        </w:tc>
        <w:tc>
          <w:tcPr>
            <w:tcW w:w="1800" w:type="dxa"/>
            <w:shd w:val="clear" w:color="auto" w:fill="EAF1FA"/>
            <w:vAlign w:val="center"/>
          </w:tcPr>
          <w:p>
            <w:pPr>
              <w:spacing w:before="20" w:after="20"/>
              <w:jc w:val="center"/>
            </w:pPr>
            <w:r>
              <w:t xml:space="preserve">a + b</w:t>
            </w:r>
          </w:p>
        </w:tc>
      </w:tr>
      <w:tr>
        <w:tc>
          <w:tcPr>
            <w:tcW w:w="3900" w:type="dxa"/>
            <w:vAlign w:val="center"/>
          </w:tcPr>
          <w:p>
            <w:pPr>
              <w:spacing w:before="20" w:after="20"/>
              <w:jc w:val="left"/>
            </w:pPr>
            <w:r>
              <w:rPr>
                <w:b/>
              </w:rPr>
              <w:t xml:space="preserve">No Expuestos (Grupo Control)</w:t>
            </w:r>
          </w:p>
        </w:tc>
        <w:tc>
          <w:tcPr>
            <w:tcW w:w="1800" w:type="dxa"/>
            <w:vAlign w:val="center"/>
          </w:tcPr>
          <w:p>
            <w:pPr>
              <w:spacing w:before="20" w:after="20"/>
              <w:jc w:val="center"/>
            </w:pPr>
            <w:r>
              <w:t xml:space="preserve">c</w:t>
            </w:r>
          </w:p>
        </w:tc>
        <w:tc>
          <w:tcPr>
            <w:tcW w:w="1800" w:type="dxa"/>
            <w:vAlign w:val="center"/>
          </w:tcPr>
          <w:p>
            <w:pPr>
              <w:spacing w:before="20" w:after="20"/>
              <w:jc w:val="center"/>
            </w:pPr>
            <w:r>
              <w:t xml:space="preserve">d</w:t>
            </w:r>
          </w:p>
        </w:tc>
        <w:tc>
          <w:tcPr>
            <w:tcW w:w="1800" w:type="dxa"/>
            <w:vAlign w:val="center"/>
          </w:tcPr>
          <w:p>
            <w:pPr>
              <w:spacing w:before="20" w:after="20"/>
              <w:jc w:val="center"/>
            </w:pPr>
            <w:r>
              <w:t xml:space="preserve">c + d</w:t>
            </w:r>
          </w:p>
        </w:tc>
      </w:tr>
    </w:tbl>
    <w:p>
      <w:pPr>
        <w:pStyle w:val="ListParagraph"/>
        <w:spacing w:after="60"/>
        <w:ind w:left="360" w:hanging="260"/>
        <w:contextualSpacing/>
      </w:pPr>
      <w:r>
        <w:t xml:space="preserve">•  </w:t>
      </w:r>
      <m:oMath>
        <m:sSub>
          <m:e>
            <m:r>
              <m:t xml:space="preserve">I</m:t>
            </m:r>
          </m:e>
          <m:sub>
            <m:r>
              <m:t xml:space="preserve">e</m:t>
            </m:r>
          </m:sub>
        </m:sSub>
      </m:oMath>
      <w:r>
        <w:t xml:space="preserve"> (Incidencia en expuestos) </w:t>
      </w:r>
      <m:oMath>
        <m:r>
          <m:t xml:space="preserve">= a / (a + b)</m:t>
        </m:r>
      </m:oMath>
      <w:r>
        <w:t xml:space="preserve">.</w:t>
      </w:r>
    </w:p>
    <w:p>
      <w:pPr>
        <w:pStyle w:val="ListParagraph"/>
        <w:spacing w:after="60"/>
        <w:ind w:left="360" w:hanging="260"/>
        <w:contextualSpacing/>
      </w:pPr>
      <w:r>
        <w:t xml:space="preserve">•  </w:t>
      </w:r>
      <m:oMath>
        <m:sSub>
          <m:e>
            <m:r>
              <m:t xml:space="preserve">I</m:t>
            </m:r>
          </m:e>
          <m:sub>
            <m:r>
              <m:t xml:space="preserve">o</m:t>
            </m:r>
          </m:sub>
        </m:sSub>
      </m:oMath>
      <w:r>
        <w:t xml:space="preserve"> (Incidencia en controles) </w:t>
      </w:r>
      <m:oMath>
        <m:r>
          <m:t xml:space="preserve">= c / (c + d)</m:t>
        </m:r>
      </m:oMath>
      <w:r>
        <w:t xml:space="preserve">.</w:t>
      </w:r>
    </w:p>
    <w:p>
      <w:pPr>
        <w:pStyle w:val="Heading3"/>
      </w:pPr>
      <w:r>
        <w:t xml:space="preserve">4.1 Riesgo Relativo (RR)</w:t>
      </w:r>
    </w:p>
    <w:p>
      <w:r>
        <w:t xml:space="preserve">Indica cuántas veces más (o menos) riesgo tiene el grupo experimental de presentar el evento en comparación con el control.</w:t>
      </w:r>
    </w:p>
    <w:p>
      <w:pPr>
        <w:pStyle w:val="ListParagraph"/>
        <w:spacing w:after="60"/>
        <w:ind w:left="360" w:hanging="260"/>
        <w:contextualSpacing/>
      </w:pPr>
      <w:r>
        <w:t xml:space="preserve">•  </w:t>
      </w:r>
      <w:r>
        <w:rPr>
          <w:b/>
        </w:rPr>
        <w:t xml:space="preserve">Fórmula:</w:t>
      </w:r>
      <w:r>
        <w:t xml:space="preserve"> </w:t>
      </w:r>
      <m:oMath>
        <m:r>
          <m:t xml:space="preserve">RR = </m:t>
        </m:r>
        <m:sSub>
          <m:e>
            <m:r>
              <m:t xml:space="preserve">I</m:t>
            </m:r>
          </m:e>
          <m:sub>
            <m:r>
              <m:t xml:space="preserve">e</m:t>
            </m:r>
          </m:sub>
        </m:sSub>
        <m:r>
          <m:t xml:space="preserve"> / </m:t>
        </m:r>
        <m:sSub>
          <m:e>
            <m:r>
              <m:t xml:space="preserve">I</m:t>
            </m:r>
          </m:e>
          <m:sub>
            <m:r>
              <m:t xml:space="preserve">o</m:t>
            </m:r>
          </m:sub>
        </m:sSub>
      </m:oMath>
      <w:r>
        <w:t xml:space="preserve">.</w:t>
      </w:r>
    </w:p>
    <w:p>
      <w:r>
        <w:rPr>
          <w:b/>
        </w:rPr>
        <w:t xml:space="preserve">Interpretación:</w:t>
      </w:r>
    </w:p>
    <w:p>
      <w:pPr>
        <w:pStyle w:val="ListParagraph"/>
        <w:spacing w:after="60"/>
        <w:ind w:left="360" w:hanging="260"/>
        <w:contextualSpacing/>
      </w:pPr>
      <w:r>
        <w:t xml:space="preserve">•  </w:t>
      </w:r>
      <m:oMath>
        <m:r>
          <m:t xml:space="preserve">RR &lt; 1</m:t>
        </m:r>
      </m:oMath>
      <w:r>
        <w:t xml:space="preserve">: El tratamiento es protector.</w:t>
      </w:r>
    </w:p>
    <w:p>
      <w:pPr>
        <w:pStyle w:val="ListParagraph"/>
        <w:spacing w:after="60"/>
        <w:ind w:left="360" w:hanging="260"/>
        <w:contextualSpacing/>
      </w:pPr>
      <w:r>
        <w:t xml:space="preserve">•  </w:t>
      </w:r>
      <m:oMath>
        <m:r>
          <m:t xml:space="preserve">RR = 1</m:t>
        </m:r>
      </m:oMath>
      <w:r>
        <w:t xml:space="preserve">: No hay diferencia.</w:t>
      </w:r>
    </w:p>
    <w:p>
      <w:pPr>
        <w:pStyle w:val="ListParagraph"/>
        <w:spacing w:after="60"/>
        <w:ind w:left="360" w:hanging="260"/>
        <w:contextualSpacing/>
      </w:pPr>
      <w:r>
        <w:t xml:space="preserve">•  </w:t>
      </w:r>
      <m:oMath>
        <m:r>
          <m:t xml:space="preserve">RR &gt; 1</m:t>
        </m:r>
      </m:oMath>
      <w:r>
        <w:t xml:space="preserve">: El tratamiento es perjudicial.</w:t>
      </w:r>
    </w:p>
    <w:p>
      <w:pPr>
        <w:pStyle w:val="Heading3"/>
      </w:pPr>
      <w:r>
        <w:t xml:space="preserve">4.2 Reducción Relativa del Riesgo (RRR)</w:t>
      </w:r>
    </w:p>
    <w:p>
      <w:r>
        <w:t xml:space="preserve">Representa el porcentaje del riesgo basal que es eliminado por la intervención.</w:t>
      </w:r>
    </w:p>
    <w:p>
      <w:pPr>
        <w:pStyle w:val="ListParagraph"/>
        <w:spacing w:after="60"/>
        <w:ind w:left="360" w:hanging="260"/>
        <w:contextualSpacing/>
      </w:pPr>
      <w:r>
        <w:t xml:space="preserve">•  </w:t>
      </w:r>
      <w:r>
        <w:rPr>
          <w:b/>
        </w:rPr>
        <w:t xml:space="preserve">Fórmula:</w:t>
      </w:r>
      <w:r>
        <w:t xml:space="preserve"> </w:t>
      </w:r>
      <m:oMath>
        <m:r>
          <m:t xml:space="preserve">RRR = (1 - RR) × 100</m:t>
        </m:r>
      </m:oMath>
      <w:r>
        <w:t xml:space="preserve">.</w:t>
      </w:r>
    </w:p>
    <w:p>
      <w:pPr>
        <w:pStyle w:val="ListParagraph"/>
        <w:spacing w:after="60"/>
        <w:ind w:left="360" w:hanging="260"/>
        <w:contextualSpacing/>
      </w:pPr>
      <w:r>
        <w:t xml:space="preserve">•  </w:t>
      </w:r>
      <w:r>
        <w:rPr>
          <w:b/>
        </w:rPr>
        <w:t xml:space="preserve">Advertencia de error conceptual:</w:t>
      </w:r>
      <w:r>
        <w:t xml:space="preserve"> La RRR puede ser engañosa si se presenta sola, ya que tiende a sobreestimar el beneficio real cuando la incidencia basal es muy baja.</w:t>
      </w:r>
    </w:p>
    <w:p>
      <w:pPr>
        <w:pStyle w:val="Heading3"/>
      </w:pPr>
      <w:r>
        <w:t xml:space="preserve">4.3 Reducción Absoluta del Riesgo (RAR)</w:t>
      </w:r>
    </w:p>
    <w:p>
      <w:r>
        <w:t xml:space="preserve">Muestra la diferencia aritmética real de incidencia entre los dos grupos. Es el indicador más fiel del impacto clínico real.</w:t>
      </w:r>
    </w:p>
    <w:p>
      <w:pPr>
        <w:pStyle w:val="ListParagraph"/>
        <w:spacing w:after="60"/>
        <w:ind w:left="360" w:hanging="260"/>
        <w:contextualSpacing/>
      </w:pPr>
      <w:r>
        <w:t xml:space="preserve">•  </w:t>
      </w:r>
      <w:r>
        <w:rPr>
          <w:b/>
        </w:rPr>
        <w:t xml:space="preserve">Fórmula:</w:t>
      </w:r>
      <w:r>
        <w:t xml:space="preserve"> </w:t>
      </w:r>
      <m:oMath>
        <m:r>
          <m:t xml:space="preserve">RAR = </m:t>
        </m:r>
        <m:sSub>
          <m:e>
            <m:r>
              <m:t xml:space="preserve">I</m:t>
            </m:r>
          </m:e>
          <m:sub>
            <m:r>
              <m:t xml:space="preserve">o</m:t>
            </m:r>
          </m:sub>
        </m:sSub>
        <m:r>
          <m:t xml:space="preserve"> - </m:t>
        </m:r>
        <m:sSub>
          <m:e>
            <m:r>
              <m:t xml:space="preserve">I</m:t>
            </m:r>
          </m:e>
          <m:sub>
            <m:r>
              <m:t xml:space="preserve">e</m:t>
            </m:r>
          </m:sub>
        </m:sSub>
      </m:oMath>
      <w:r>
        <w:t xml:space="preserve">.</w:t>
      </w:r>
    </w:p>
    <w:p>
      <w:pPr>
        <w:pStyle w:val="Heading3"/>
      </w:pPr>
      <w:r>
        <w:t xml:space="preserve">4.4 Número Necesario a Tratar (NNT)</w:t>
      </w:r>
    </w:p>
    <w:p>
      <w:r>
        <w:t xml:space="preserve">Indica cuántos pacientes deben recibir el tratamiento experimental para evitar que un paciente adicional sufra el evento negativo.</w:t>
      </w:r>
    </w:p>
    <w:p>
      <w:pPr>
        <w:pStyle w:val="ListParagraph"/>
        <w:spacing w:after="60"/>
        <w:ind w:left="360" w:hanging="260"/>
        <w:contextualSpacing/>
      </w:pPr>
      <w:r>
        <w:t xml:space="preserve">•  </w:t>
      </w:r>
      <w:r>
        <w:rPr>
          <w:b/>
        </w:rPr>
        <w:t xml:space="preserve">Fórmula:</w:t>
      </w:r>
      <w:r>
        <w:t xml:space="preserve"> </w:t>
      </w:r>
      <m:oMath>
        <m:r>
          <m:t xml:space="preserve">NNT = 1 / RAR</m:t>
        </m:r>
      </m:oMath>
      <w:r>
        <w:t xml:space="preserve">.</w:t>
      </w:r>
    </w:p>
    <w:p>
      <w:pPr>
        <w:pStyle w:val="ListParagraph"/>
        <w:spacing w:after="60"/>
        <w:ind w:left="360" w:hanging="260"/>
        <w:contextualSpacing/>
      </w:pPr>
      <w:r>
        <w:t xml:space="preserve">•  </w:t>
      </w:r>
      <w:r>
        <w:rPr>
          <w:b/>
        </w:rPr>
        <w:t xml:space="preserve">Referencia clínica:</w:t>
      </w:r>
      <w:r>
        <w:t xml:space="preserve"> Un </w:t>
      </w:r>
      <m:oMath>
        <m:r>
          <m:t xml:space="preserve">NNT ≤ 15</m:t>
        </m:r>
      </m:oMath>
      <w:r>
        <w:t xml:space="preserve"> suele considerarse de alta relevancia clínica.</w:t>
      </w:r>
    </w:p>
    <w:p>
      <w:pPr>
        <w:pStyle w:val="Heading2"/>
      </w:pPr>
      <w:r>
        <w:t xml:space="preserve">V. Métricas de Seguridad y Daño 🧮</w:t>
      </w:r>
    </w:p>
    <w:p>
      <w:pPr>
        <w:pStyle w:val="Heading3"/>
      </w:pPr>
      <w:r>
        <w:t xml:space="preserve">5.1 Aumento del Riesgo Absoluto (ARA)</w:t>
      </w:r>
    </w:p>
    <w:p>
      <w:r>
        <w:t xml:space="preserve">Se calcula cuando la intervención produce más eventos adversos que el control.</w:t>
      </w:r>
    </w:p>
    <w:p>
      <w:pPr>
        <w:pStyle w:val="ListParagraph"/>
        <w:spacing w:after="60"/>
        <w:ind w:left="360" w:hanging="260"/>
        <w:contextualSpacing/>
      </w:pPr>
      <w:r>
        <w:t xml:space="preserve">•  </w:t>
      </w:r>
      <w:r>
        <w:rPr>
          <w:b/>
        </w:rPr>
        <w:t xml:space="preserve">Fórmula:</w:t>
      </w:r>
      <w:r>
        <w:t xml:space="preserve"> </w:t>
      </w:r>
      <m:oMath>
        <m:r>
          <m:t xml:space="preserve">ARA = </m:t>
        </m:r>
        <m:sSub>
          <m:e>
            <m:r>
              <m:t xml:space="preserve">I</m:t>
            </m:r>
          </m:e>
          <m:sub>
            <m:r>
              <m:t xml:space="preserve">e</m:t>
            </m:r>
          </m:sub>
        </m:sSub>
        <m:r>
          <m:t xml:space="preserve"> - </m:t>
        </m:r>
        <m:sSub>
          <m:e>
            <m:r>
              <m:t xml:space="preserve">I</m:t>
            </m:r>
          </m:e>
          <m:sub>
            <m:r>
              <m:t xml:space="preserve">o</m:t>
            </m:r>
          </m:sub>
        </m:sSub>
      </m:oMath>
      <w:r>
        <w:t xml:space="preserve">.</w:t>
      </w:r>
    </w:p>
    <w:p>
      <w:pPr>
        <w:pStyle w:val="Heading3"/>
      </w:pPr>
      <w:r>
        <w:t xml:space="preserve">5.2 Número Necesario para Daño (NNH o NND)</w:t>
      </w:r>
    </w:p>
    <w:p>
      <w:r>
        <w:t xml:space="preserve">Indica cuántos pacientes deben ser tratados para que uno presente un efecto adverso adicional que no habría ocurrido con el control.</w:t>
      </w:r>
    </w:p>
    <w:p>
      <w:pPr>
        <w:pStyle w:val="ListParagraph"/>
        <w:spacing w:after="60"/>
        <w:ind w:left="360" w:hanging="260"/>
        <w:contextualSpacing/>
      </w:pPr>
      <w:r>
        <w:t xml:space="preserve">•  </w:t>
      </w:r>
      <w:r>
        <w:rPr>
          <w:b/>
        </w:rPr>
        <w:t xml:space="preserve">Fórmula:</w:t>
      </w:r>
      <w:r>
        <w:t xml:space="preserve"> </w:t>
      </w:r>
      <m:oMath>
        <m:r>
          <m:t xml:space="preserve">NNH = 1 / ARA</m:t>
        </m:r>
      </m:oMath>
      <w:r>
        <w:t xml:space="preserve">.</w:t>
      </w:r>
    </w:p>
    <w:p>
      <w:pPr>
        <w:pStyle w:val="Heading2"/>
      </w:pPr>
      <w:r>
        <w:t xml:space="preserve">VI. Amenazas a la Validez: Errores y Sesgos</w:t>
      </w:r>
    </w:p>
    <w:p>
      <w:pPr>
        <w:pStyle w:val="Heading3"/>
      </w:pPr>
      <w:r>
        <w:t xml:space="preserve">6.1 Errores Estadísticos</w:t>
      </w:r>
    </w:p>
    <w:p>
      <w:pPr>
        <w:pStyle w:val="ListParagraph"/>
        <w:spacing w:after="60"/>
        <w:ind w:left="360" w:hanging="260"/>
        <w:contextualSpacing/>
      </w:pPr>
      <w:r>
        <w:t xml:space="preserve">•  </w:t>
      </w:r>
      <w:r>
        <w:rPr>
          <w:b/>
        </w:rPr>
        <w:t xml:space="preserve">Error Tipo I (α):</w:t>
      </w:r>
      <w:r>
        <w:t xml:space="preserve"> Falso positivo. Concluir que hay un efecto cuando en realidad no existe (</w:t>
      </w:r>
      <m:oMath>
        <m:r>
          <m:t xml:space="preserve">p &lt; 0,05</m:t>
        </m:r>
      </m:oMath>
      <w:r>
        <w:t xml:space="preserve">).</w:t>
      </w:r>
    </w:p>
    <w:p>
      <w:pPr>
        <w:pStyle w:val="ListParagraph"/>
        <w:spacing w:after="60"/>
        <w:ind w:left="360" w:hanging="260"/>
        <w:contextualSpacing/>
      </w:pPr>
      <w:r>
        <w:t xml:space="preserve">•  </w:t>
      </w:r>
      <w:r>
        <w:rPr>
          <w:b/>
        </w:rPr>
        <w:t xml:space="preserve">Error Tipo II (β):</w:t>
      </w:r>
      <w:r>
        <w:t xml:space="preserve"> Falso negativo. Concluir que no hay efecto cuando sí existe. Se debe usualmente a un tamaño muestral insuficiente.</w:t>
      </w:r>
    </w:p>
    <w:p>
      <w:pPr>
        <w:pStyle w:val="Heading3"/>
      </w:pPr>
      <w:r>
        <w:t xml:space="preserve">6.2 Sesgos Principales</w:t>
      </w:r>
    </w:p>
    <w:p>
      <w:pPr>
        <w:pStyle w:val="ListParagraph"/>
        <w:spacing w:after="60"/>
        <w:ind w:left="360" w:hanging="260"/>
        <w:contextualSpacing/>
      </w:pPr>
      <w:r>
        <w:t xml:space="preserve">•  </w:t>
      </w:r>
      <w:r>
        <w:rPr>
          <w:b/>
        </w:rPr>
        <w:t xml:space="preserve">Sesgo de Selección:</w:t>
      </w:r>
      <w:r>
        <w:t xml:space="preserve"> Los grupos no son comparables inicialmente. Se controla con aleatorización verdadera.</w:t>
      </w:r>
    </w:p>
    <w:p>
      <w:pPr>
        <w:pStyle w:val="ListParagraph"/>
        <w:spacing w:after="60"/>
        <w:ind w:left="360" w:hanging="260"/>
        <w:contextualSpacing/>
      </w:pPr>
      <w:r>
        <w:t xml:space="preserve">•  </w:t>
      </w:r>
      <w:r>
        <w:rPr>
          <w:b/>
        </w:rPr>
        <w:t xml:space="preserve">Sesgo de Información:</w:t>
      </w:r>
      <w:r>
        <w:t xml:space="preserve"> Diferencias en cómo se recolectan los datos. Se controla con cegamiento.</w:t>
      </w:r>
    </w:p>
    <w:p>
      <w:pPr>
        <w:pStyle w:val="ListParagraph"/>
        <w:spacing w:after="60"/>
        <w:ind w:left="360" w:hanging="260"/>
        <w:contextualSpacing/>
      </w:pPr>
      <w:r>
        <w:t xml:space="preserve">•  </w:t>
      </w:r>
      <w:r>
        <w:rPr>
          <w:b/>
        </w:rPr>
        <w:t xml:space="preserve">Sesgo de Confusión:</w:t>
      </w:r>
      <w:r>
        <w:t xml:space="preserve"> Una variable externa distorsiona la relación. Se controla mediante aleatorización, restricción o análisis multivariado.</w:t>
      </w:r>
    </w:p>
    <w:p>
      <w:pPr>
        <w:pStyle w:val="Heading2"/>
      </w:pPr>
      <w:r>
        <w:t xml:space="preserve">VII. Ejercicio Integrador Resuelto (Caso 1: Colon Espástico) 🧮</w:t>
      </w:r>
    </w:p>
    <w:p>
      <w:r>
        <w:rPr>
          <w:b/>
        </w:rPr>
        <w:t xml:space="preserve">Escenario:</w:t>
      </w:r>
      <w:r>
        <w:t xml:space="preserve"> El Tratamiento A se compara con el Convencional B en 200 pacientes.</w:t>
      </w:r>
    </w:p>
    <w:p>
      <w:pPr>
        <w:pStyle w:val="ListParagraph"/>
        <w:spacing w:after="60"/>
        <w:ind w:left="360" w:hanging="260"/>
        <w:contextualSpacing/>
      </w:pPr>
      <w:r>
        <w:t xml:space="preserve">•  </w:t>
      </w:r>
      <w:r>
        <w:rPr>
          <w:b/>
        </w:rPr>
        <w:t xml:space="preserve">Grupo A:</w:t>
      </w:r>
      <w:r>
        <w:t xml:space="preserve"> 20 recidivas de 100 pacientes (</w:t>
      </w:r>
      <m:oMath>
        <m:sSub>
          <m:e>
            <m:r>
              <m:t xml:space="preserve">I</m:t>
            </m:r>
          </m:e>
          <m:sub>
            <m:r>
              <m:t xml:space="preserve">e</m:t>
            </m:r>
          </m:sub>
        </m:sSub>
        <m:r>
          <m:t xml:space="preserve"> = 0,20</m:t>
        </m:r>
      </m:oMath>
      <w:r>
        <w:t xml:space="preserve">).</w:t>
      </w:r>
    </w:p>
    <w:p>
      <w:pPr>
        <w:pStyle w:val="ListParagraph"/>
        <w:spacing w:after="60"/>
        <w:ind w:left="360" w:hanging="260"/>
        <w:contextualSpacing/>
      </w:pPr>
      <w:r>
        <w:t xml:space="preserve">•  </w:t>
      </w:r>
      <w:r>
        <w:rPr>
          <w:b/>
        </w:rPr>
        <w:t xml:space="preserve">Grupo B:</w:t>
      </w:r>
      <w:r>
        <w:t xml:space="preserve"> 50 recidivas de 100 pacientes (</w:t>
      </w:r>
      <m:oMath>
        <m:sSub>
          <m:e>
            <m:r>
              <m:t xml:space="preserve">I</m:t>
            </m:r>
          </m:e>
          <m:sub>
            <m:r>
              <m:t xml:space="preserve">o</m:t>
            </m:r>
          </m:sub>
        </m:sSub>
        <m:r>
          <m:t xml:space="preserve"> = 0,50</m:t>
        </m:r>
      </m:oMath>
      <w:r>
        <w:t xml:space="preserve">).</w:t>
      </w:r>
    </w:p>
    <w:p>
      <w:r>
        <w:rPr>
          <w:b/>
        </w:rPr>
        <w:t xml:space="preserve">Resolución Paso a Paso:</w:t>
      </w:r>
    </w:p>
    <w:p>
      <w:pPr>
        <w:pStyle w:val="ListParagraph"/>
        <w:spacing w:after="60"/>
        <w:ind w:left="360" w:hanging="260"/>
        <w:contextualSpacing/>
      </w:pPr>
      <w:r>
        <w:t xml:space="preserve">•  </w:t>
      </w:r>
      <w:r>
        <w:rPr>
          <w:b/>
        </w:rPr>
        <w:t xml:space="preserve">RR:</w:t>
      </w:r>
      <w:r>
        <w:t xml:space="preserve"> </w:t>
      </w:r>
      <m:oMath>
        <m:r>
          <m:t xml:space="preserve">0,20 / 0,50 = 0,40</m:t>
        </m:r>
      </m:oMath>
      <w:r>
        <w:t xml:space="preserve">. El grupo A tiene solo el 40% del riesgo de recidiva del grupo B.</w:t>
      </w:r>
    </w:p>
    <w:p>
      <w:pPr>
        <w:pStyle w:val="ListParagraph"/>
        <w:spacing w:after="60"/>
        <w:ind w:left="360" w:hanging="260"/>
        <w:contextualSpacing/>
      </w:pPr>
      <w:r>
        <w:t xml:space="preserve">•  </w:t>
      </w:r>
      <w:r>
        <w:rPr>
          <w:b/>
        </w:rPr>
        <w:t xml:space="preserve">RRR:</w:t>
      </w:r>
      <w:r>
        <w:t xml:space="preserve"> </w:t>
      </w:r>
      <m:oMath>
        <m:r>
          <m:t xml:space="preserve">(1 - 0,40) × 100 = 60%</m:t>
        </m:r>
      </m:oMath>
      <w:r>
        <w:t xml:space="preserve">. El tratamiento A reduce las recidivas en un 60% relativo al grupo B.</w:t>
      </w:r>
    </w:p>
    <w:p>
      <w:pPr>
        <w:pStyle w:val="ListParagraph"/>
        <w:spacing w:after="60"/>
        <w:ind w:left="360" w:hanging="260"/>
        <w:contextualSpacing/>
      </w:pPr>
      <w:r>
        <w:t xml:space="preserve">•  </w:t>
      </w:r>
      <w:r>
        <w:rPr>
          <w:b/>
        </w:rPr>
        <w:t xml:space="preserve">RAR:</w:t>
      </w:r>
      <w:r>
        <w:t xml:space="preserve"> </w:t>
      </w:r>
      <m:oMath>
        <m:r>
          <m:t xml:space="preserve">0,50 - 0,20 = 0,30</m:t>
        </m:r>
      </m:oMath>
      <w:r>
        <w:t xml:space="preserve"> (30%). Se evitan 30 recidivas por cada 100 tratados con A.</w:t>
      </w:r>
    </w:p>
    <w:p>
      <w:pPr>
        <w:pStyle w:val="ListParagraph"/>
        <w:spacing w:after="60"/>
        <w:ind w:left="360" w:hanging="260"/>
        <w:contextualSpacing/>
      </w:pPr>
      <w:r>
        <w:t xml:space="preserve">•  </w:t>
      </w:r>
      <w:r>
        <w:rPr>
          <w:b/>
        </w:rPr>
        <w:t xml:space="preserve">NNT:</w:t>
      </w:r>
      <w:r>
        <w:t xml:space="preserve"> </w:t>
      </w:r>
      <m:oMath>
        <m:r>
          <m:t xml:space="preserve">1 / 0,30 = 3,33 ≈</m:t>
        </m:r>
      </m:oMath>
      <w:r>
        <w:t xml:space="preserve"> 4 pacientes. Es necesario tratar a 4 pacientes con el fármaco A para evitar 1 recidiva.</w:t>
      </w:r>
    </w:p>
    <w:p>
      <w:r>
        <w:rPr>
          <w:b/>
        </w:rPr>
        <w:t xml:space="preserve">Conclusión:</w:t>
      </w:r>
      <w:r>
        <w:t xml:space="preserve"> El tratamiento es altamente efectivo debido a un NNT muy bajo (&lt; 15).</w:t>
      </w:r>
    </w:p>
    <w:p>
      <w:pPr>
        <w:pStyle w:val="Heading1"/>
      </w:pPr>
      <w:r>
        <w:t xml:space="preserve">TEMA 3 — Investigación de Brotes (Los 10 Pasos)</w:t>
      </w:r>
    </w:p>
    <w:p>
      <w:pPr>
        <w:pStyle w:val="Heading2"/>
      </w:pPr>
      <w:r>
        <w:t xml:space="preserve">I. Definiciones Operacionales en Epidemiología de Campo</w:t>
      </w:r>
    </w:p>
    <w:p>
      <w:r>
        <w:t xml:space="preserve">La investigación de brotes requiere una precisión terminológica absoluta para clasificar la magnitud y naturaleza de los eventos de salud.</w:t>
      </w:r>
    </w:p>
    <w:p>
      <w:pPr>
        <w:pStyle w:val="Heading3"/>
      </w:pPr>
      <w:r>
        <w:t xml:space="preserve">1.1 Conglomerado (Cluster)</w:t>
      </w:r>
    </w:p>
    <w:p>
      <w:r>
        <w:rPr>
          <w:b/>
        </w:rPr>
        <w:t xml:space="preserve">Definición:</w:t>
      </w:r>
      <w:r>
        <w:t xml:space="preserve"> Es la agregación inusual, real o aparente, de eventos de salud que se encuentran agrupados en el tiempo y/o en el espacio.</w:t>
      </w:r>
    </w:p>
    <w:p>
      <w:r>
        <w:rPr>
          <w:b/>
        </w:rPr>
        <w:t xml:space="preserve">Explicación:</w:t>
      </w:r>
      <w:r>
        <w:t xml:space="preserve"> No necesariamente implica una relación causal comprobada ni un número mínimo de casos; es una observación preliminar de una agrupación de casos (ej. varios casos de varicela en un mismo barrio) que requiere verificación para determinar si es una fuente común.</w:t>
      </w:r>
    </w:p>
    <w:p>
      <w:r>
        <w:rPr>
          <w:b/>
        </w:rPr>
        <w:t xml:space="preserve">Error conceptual frecuente:</w:t>
      </w:r>
      <w:r>
        <w:t xml:space="preserve"> Confundir brote con conglomerado. El brote implica nexo epidemiológico y aumento inusual, mientras que el conglomerado es solo una sospecha visual de agrupación.</w:t>
      </w:r>
    </w:p>
    <w:p>
      <w:pPr>
        <w:pStyle w:val="Heading3"/>
      </w:pPr>
      <w:r>
        <w:t xml:space="preserve">1.2 Brote (Outbreak)</w:t>
      </w:r>
    </w:p>
    <w:p>
      <w:r>
        <w:rPr>
          <w:b/>
        </w:rPr>
        <w:t xml:space="preserve">Definición:</w:t>
      </w:r>
      <w:r>
        <w:t xml:space="preserve"> Aumento inusual en el número de casos relacionados epidemiológicamente, de aparición súbita y diseminación localizada en un espacio específico.</w:t>
      </w:r>
    </w:p>
    <w:p>
      <w:r>
        <w:rPr>
          <w:b/>
        </w:rPr>
        <w:t xml:space="preserve">Explicación técnica:</w:t>
      </w:r>
      <w:r>
        <w:t xml:space="preserve"> La docente establece una regla de oro para la tipificación:</w:t>
      </w:r>
    </w:p>
    <w:p>
      <w:pPr>
        <w:pStyle w:val="ListParagraph"/>
        <w:spacing w:after="60"/>
        <w:ind w:left="360" w:hanging="260"/>
        <w:contextualSpacing/>
      </w:pPr>
      <w:r>
        <w:t xml:space="preserve">•  </w:t>
      </w:r>
      <w:r>
        <w:rPr>
          <w:b/>
        </w:rPr>
        <w:t xml:space="preserve">Enfermedad Endémica:</w:t>
      </w:r>
      <w:r>
        <w:t xml:space="preserve"> Se considera brote a partir de dos casos relacionados.</w:t>
      </w:r>
    </w:p>
    <w:p>
      <w:pPr>
        <w:pStyle w:val="ListParagraph"/>
        <w:spacing w:after="60"/>
        <w:ind w:left="360" w:hanging="260"/>
        <w:contextualSpacing/>
      </w:pPr>
      <w:r>
        <w:t xml:space="preserve">•  </w:t>
      </w:r>
      <w:r>
        <w:rPr>
          <w:b/>
        </w:rPr>
        <w:t xml:space="preserve">Enfermedad Nueva o desconocida en el área:</w:t>
      </w:r>
      <w:r>
        <w:t xml:space="preserve"> Un solo caso ya se tipifica como brote (ej. el primer caso de COVID-19 en una ciudad).</w:t>
      </w:r>
    </w:p>
    <w:p>
      <w:r>
        <w:rPr>
          <w:b/>
        </w:rPr>
        <w:t xml:space="preserve">Aplicación:</w:t>
      </w:r>
      <w:r>
        <w:t xml:space="preserve"> Es fundamental en el ámbito hospitalario; si aparece un microorganismo con un mecanismo de resistencia nuevo (flora no referenciada), un solo caso es brote.</w:t>
      </w:r>
    </w:p>
    <w:p>
      <w:pPr>
        <w:pStyle w:val="Heading3"/>
      </w:pPr>
      <w:r>
        <w:t xml:space="preserve">1.3 Epidemia</w:t>
      </w:r>
    </w:p>
    <w:p>
      <w:r>
        <w:rPr>
          <w:b/>
        </w:rPr>
        <w:t xml:space="preserve">Definición:</w:t>
      </w:r>
      <w:r>
        <w:t xml:space="preserve"> Ocurrencia de casos de enfermedad con una incidencia mayor a la esperada para un área geográfica y periodo determinados.</w:t>
      </w:r>
    </w:p>
    <w:p>
      <w:r>
        <w:rPr>
          <w:b/>
        </w:rPr>
        <w:t xml:space="preserve">Contextualización:</w:t>
      </w:r>
      <w:r>
        <w:t xml:space="preserve"> El umbral de lo "esperado" varía según la población. Por ejemplo, el número de casos de Dengue que en Cali se considera Endemia (habitual y predecible), en Manizales podría representar una Epidemia debido a la baja incidencia histórica en esa zona geográfica.</w:t>
      </w:r>
    </w:p>
    <w:p>
      <w:pPr>
        <w:pStyle w:val="Heading3"/>
      </w:pPr>
      <w:r>
        <w:t xml:space="preserve">1.4 Endemia y Pandemia</w:t>
      </w:r>
    </w:p>
    <w:p>
      <w:pPr>
        <w:pStyle w:val="ListParagraph"/>
        <w:spacing w:after="60"/>
        <w:ind w:left="360" w:hanging="260"/>
        <w:contextualSpacing/>
      </w:pPr>
      <w:r>
        <w:t xml:space="preserve">•  </w:t>
      </w:r>
      <w:r>
        <w:rPr>
          <w:b/>
        </w:rPr>
        <w:t xml:space="preserve">Endemia:</w:t>
      </w:r>
      <w:r>
        <w:t xml:space="preserve"> Presencia constante y habitual de una enfermedad con incidencia estable en un área definida.</w:t>
      </w:r>
    </w:p>
    <w:p>
      <w:pPr>
        <w:pStyle w:val="ListParagraph"/>
        <w:spacing w:after="60"/>
        <w:ind w:left="360" w:hanging="260"/>
        <w:contextualSpacing/>
      </w:pPr>
      <w:r>
        <w:t xml:space="preserve">•  </w:t>
      </w:r>
      <w:r>
        <w:rPr>
          <w:b/>
        </w:rPr>
        <w:t xml:space="preserve">Pandemia:</w:t>
      </w:r>
      <w:r>
        <w:t xml:space="preserve"> Epidemia extendida a múltiples países o continentes, afectando a grandes masas poblacionales (ej. COVID-19, VIH, influenza H1N1).</w:t>
      </w:r>
    </w:p>
    <w:p>
      <w:pPr>
        <w:pStyle w:val="Heading2"/>
      </w:pPr>
      <w:r>
        <w:t xml:space="preserve">II. Criterios para iniciar una Investigación de Brote</w:t>
      </w:r>
    </w:p>
    <w:p>
      <w:r>
        <w:t xml:space="preserve">No todo evento de salud genera un estudio de campo; la docente señala criterios de prioridad epidemiológica:</w:t>
      </w:r>
    </w:p>
    <w:p>
      <w:pPr>
        <w:pStyle w:val="ListParagraph"/>
        <w:spacing w:after="60"/>
        <w:ind w:left="360" w:hanging="260"/>
        <w:contextualSpacing/>
      </w:pPr>
      <w:r>
        <w:t xml:space="preserve">•  </w:t>
      </w:r>
      <w:r>
        <w:rPr>
          <w:b/>
        </w:rPr>
        <w:t xml:space="preserve">Enfermedad Prioritaria:</w:t>
      </w:r>
      <w:r>
        <w:t xml:space="preserve"> Afecta la salud pública o colectiva de una región.</w:t>
      </w:r>
    </w:p>
    <w:p>
      <w:pPr>
        <w:pStyle w:val="ListParagraph"/>
        <w:spacing w:after="60"/>
        <w:ind w:left="360" w:hanging="260"/>
        <w:contextualSpacing/>
      </w:pPr>
      <w:r>
        <w:t xml:space="preserve">•  </w:t>
      </w:r>
      <w:r>
        <w:rPr>
          <w:b/>
        </w:rPr>
        <w:t xml:space="preserve">Exceso de Ocurrencia Usual:</w:t>
      </w:r>
      <w:r>
        <w:t xml:space="preserve"> Cuando la incidencia supera lo normal para la época del año.</w:t>
      </w:r>
    </w:p>
    <w:p>
      <w:pPr>
        <w:pStyle w:val="ListParagraph"/>
        <w:spacing w:after="60"/>
        <w:ind w:left="360" w:hanging="260"/>
        <w:contextualSpacing/>
      </w:pPr>
      <w:r>
        <w:t xml:space="preserve">•  </w:t>
      </w:r>
      <w:r>
        <w:rPr>
          <w:b/>
        </w:rPr>
        <w:t xml:space="preserve">Fuente Común Aparente:</w:t>
      </w:r>
      <w:r>
        <w:t xml:space="preserve"> Sospecha de un vehículo único (agua, alimento).</w:t>
      </w:r>
    </w:p>
    <w:p>
      <w:pPr>
        <w:pStyle w:val="ListParagraph"/>
        <w:spacing w:after="60"/>
        <w:ind w:left="360" w:hanging="260"/>
        <w:contextualSpacing/>
      </w:pPr>
      <w:r>
        <w:t xml:space="preserve">•  </w:t>
      </w:r>
      <w:r>
        <w:rPr>
          <w:b/>
        </w:rPr>
        <w:t xml:space="preserve">Severidad Mayor a la Usual:</w:t>
      </w:r>
      <w:r>
        <w:t xml:space="preserve"> Casos más graves de lo esperado o letalidad aumentada.</w:t>
      </w:r>
    </w:p>
    <w:p>
      <w:pPr>
        <w:pStyle w:val="ListParagraph"/>
        <w:spacing w:after="60"/>
        <w:ind w:left="360" w:hanging="260"/>
        <w:contextualSpacing/>
      </w:pPr>
      <w:r>
        <w:t xml:space="preserve">•  </w:t>
      </w:r>
      <w:r>
        <w:rPr>
          <w:b/>
        </w:rPr>
        <w:t xml:space="preserve">Enfermedad Nueva o Emergente:</w:t>
      </w:r>
      <w:r>
        <w:t xml:space="preserve"> Patógenos desconocidos en el área (ej. aparición del Oropouche o reemergencia de Fiebre Amarilla en zonas montañosas).</w:t>
      </w:r>
    </w:p>
    <w:p>
      <w:pPr>
        <w:pStyle w:val="Heading2"/>
      </w:pPr>
      <w:r>
        <w:t xml:space="preserve">III. Los 10 Pasos de la Investigación de Campo</w:t>
      </w:r>
    </w:p>
    <w:p>
      <w:r>
        <w:t xml:space="preserve">La investigación de brotes combina actividades descriptivas y analíticas de forma secuencial.</w:t>
      </w:r>
    </w:p>
    <w:p>
      <w:pPr>
        <w:pStyle w:val="Heading3"/>
      </w:pPr>
      <w:r>
        <w:t xml:space="preserve">Paso 1: Confirmar la ocurrencia del brote</w:t>
      </w:r>
    </w:p>
    <w:p>
      <w:r>
        <w:t xml:space="preserve">Consiste en verificar el diagnóstico de los casos notificados y comparar la incidencia observada con la esperada. Se debe determinar si el aumento es real o un artefacto del sistema de vigilancia.</w:t>
      </w:r>
    </w:p>
    <w:p>
      <w:pPr>
        <w:pStyle w:val="Heading3"/>
      </w:pPr>
      <w:r>
        <w:t xml:space="preserve">Paso 2: Organizar el trabajo de campo</w:t>
      </w:r>
    </w:p>
    <w:p>
      <w:r>
        <w:t xml:space="preserve">Proceso logístico fundamental para el éxito de la investigación:</w:t>
      </w:r>
    </w:p>
    <w:p>
      <w:pPr>
        <w:pStyle w:val="ListParagraph"/>
        <w:spacing w:after="60"/>
        <w:ind w:left="360" w:hanging="260"/>
        <w:contextualSpacing/>
      </w:pPr>
      <w:r>
        <w:t xml:space="preserve">•  </w:t>
      </w:r>
      <w:r>
        <w:rPr>
          <w:b/>
        </w:rPr>
        <w:t xml:space="preserve">Administrativo:</w:t>
      </w:r>
      <w:r>
        <w:t xml:space="preserve"> Coordinación con autoridades políticas y líderes comunitarios (indispensable para entrar en zonas peligrosas o resguardos).</w:t>
      </w:r>
    </w:p>
    <w:p>
      <w:pPr>
        <w:pStyle w:val="ListParagraph"/>
        <w:spacing w:after="60"/>
        <w:ind w:left="360" w:hanging="260"/>
        <w:contextualSpacing/>
      </w:pPr>
      <w:r>
        <w:t xml:space="preserve">•  </w:t>
      </w:r>
      <w:r>
        <w:rPr>
          <w:b/>
        </w:rPr>
        <w:t xml:space="preserve">Logístico:</w:t>
      </w:r>
      <w:r>
        <w:t xml:space="preserve"> Garantizar recursos mínimos (transporte, insumos de laboratorio, personal entrenado).</w:t>
      </w:r>
    </w:p>
    <w:p>
      <w:pPr>
        <w:pStyle w:val="ListParagraph"/>
        <w:spacing w:after="60"/>
        <w:ind w:left="360" w:hanging="260"/>
        <w:contextualSpacing/>
      </w:pPr>
      <w:r>
        <w:t xml:space="preserve">•  </w:t>
      </w:r>
      <w:r>
        <w:rPr>
          <w:b/>
        </w:rPr>
        <w:t xml:space="preserve">Técnico:</w:t>
      </w:r>
      <w:r>
        <w:t xml:space="preserve"> Obtención de mapas, cartografía, cuestionarios y normas vigentes.</w:t>
      </w:r>
    </w:p>
    <w:p>
      <w:pPr>
        <w:pStyle w:val="Heading3"/>
      </w:pPr>
      <w:r>
        <w:t xml:space="preserve">Paso 3: Establecer una definición operacional de caso</w:t>
      </w:r>
    </w:p>
    <w:p>
      <w:r>
        <w:t xml:space="preserve">Es la piedra angular de la búsqueda activa. Incluye tres criterios en sinergia:</w:t>
      </w:r>
    </w:p>
    <w:p>
      <w:pPr>
        <w:pStyle w:val="ListParagraph"/>
        <w:spacing w:after="60"/>
        <w:ind w:left="360" w:hanging="260"/>
        <w:contextualSpacing/>
      </w:pPr>
      <w:r>
        <w:t xml:space="preserve">•  </w:t>
      </w:r>
      <w:r>
        <w:rPr>
          <w:b/>
        </w:rPr>
        <w:t xml:space="preserve">Clínicos:</w:t>
      </w:r>
      <w:r>
        <w:t xml:space="preserve"> Signos y síntomas específicos.</w:t>
      </w:r>
    </w:p>
    <w:p>
      <w:pPr>
        <w:pStyle w:val="ListParagraph"/>
        <w:spacing w:after="60"/>
        <w:ind w:left="360" w:hanging="260"/>
        <w:contextualSpacing/>
      </w:pPr>
      <w:r>
        <w:t xml:space="preserve">•  </w:t>
      </w:r>
      <w:r>
        <w:rPr>
          <w:b/>
        </w:rPr>
        <w:t xml:space="preserve">Laboratorio:</w:t>
      </w:r>
      <w:r>
        <w:t xml:space="preserve"> Pruebas confirmatorias.</w:t>
      </w:r>
    </w:p>
    <w:p>
      <w:pPr>
        <w:pStyle w:val="ListParagraph"/>
        <w:spacing w:after="60"/>
        <w:ind w:left="360" w:hanging="260"/>
        <w:contextualSpacing/>
      </w:pPr>
      <w:r>
        <w:t xml:space="preserve">•  </w:t>
      </w:r>
      <w:r>
        <w:rPr>
          <w:b/>
        </w:rPr>
        <w:t xml:space="preserve">Epidemiológicos:</w:t>
      </w:r>
      <w:r>
        <w:t xml:space="preserve"> Nexo con personas enfermas, desplazamientos recientes o exposición a zonas endémicas.</w:t>
      </w:r>
    </w:p>
    <w:p>
      <w:pPr>
        <w:pStyle w:val="ListParagraph"/>
        <w:spacing w:after="60"/>
        <w:ind w:left="360" w:hanging="260"/>
        <w:contextualSpacing/>
      </w:pPr>
      <w:r>
        <w:t xml:space="preserve">•  </w:t>
      </w:r>
      <w:r>
        <w:rPr>
          <w:b/>
        </w:rPr>
        <w:t xml:space="preserve">Estrategia:</w:t>
      </w:r>
      <w:r>
        <w:t xml:space="preserve"> Al inicio se usa una definición sensible (para no perder casos) y luego una específica (para confirmar).</w:t>
      </w:r>
    </w:p>
    <w:p>
      <w:pPr>
        <w:pStyle w:val="Heading3"/>
      </w:pPr>
      <w:r>
        <w:t xml:space="preserve">Paso 4: Realizar la búsqueda activa de casos</w:t>
      </w:r>
    </w:p>
    <w:p>
      <w:r>
        <w:t xml:space="preserve">Método de recolección de datos "casa a casa" en el sector del caso índice (el primero detectado).</w:t>
      </w:r>
    </w:p>
    <w:p>
      <w:pPr>
        <w:pStyle w:val="ListParagraph"/>
        <w:spacing w:after="60"/>
        <w:ind w:left="360" w:hanging="260"/>
        <w:contextualSpacing/>
      </w:pPr>
      <w:r>
        <w:t xml:space="preserve">•  </w:t>
      </w:r>
      <w:r>
        <w:rPr>
          <w:b/>
        </w:rPr>
        <w:t xml:space="preserve">Ejemplo COVID-19 (Manizales):</w:t>
      </w:r>
      <w:r>
        <w:t xml:space="preserve"> Implementación de la estrategia PRASS (Pruebas, Rastreo, Aislamiento Selectivo Sostenible) con equipos de rastreadores entrenados para identificar sintomáticos respiratorios.</w:t>
      </w:r>
    </w:p>
    <w:p>
      <w:pPr>
        <w:pStyle w:val="Heading3"/>
      </w:pPr>
      <w:r>
        <w:t xml:space="preserve">Paso 5: Caracterización: Tiempo, Espacio y Persona</w:t>
      </w:r>
    </w:p>
    <w:p>
      <w:pPr>
        <w:pStyle w:val="ListParagraph"/>
        <w:spacing w:after="60"/>
        <w:ind w:left="360" w:hanging="260"/>
        <w:contextualSpacing/>
      </w:pPr>
      <w:r>
        <w:t xml:space="preserve">•  </w:t>
      </w:r>
      <w:r>
        <w:rPr>
          <w:b/>
        </w:rPr>
        <w:t xml:space="preserve">Tiempo:</w:t>
      </w:r>
      <w:r>
        <w:t xml:space="preserve"> Uso de la Curva Epidémica (histograma) para estimar el periodo de incubación y la naturaleza de la exposición (puntual vs. propagada).</w:t>
      </w:r>
    </w:p>
    <w:p>
      <w:pPr>
        <w:pStyle w:val="ListParagraph"/>
        <w:spacing w:after="60"/>
        <w:ind w:left="360" w:hanging="260"/>
        <w:contextualSpacing/>
      </w:pPr>
      <w:r>
        <w:t xml:space="preserve">•  </w:t>
      </w:r>
      <w:r>
        <w:rPr>
          <w:b/>
        </w:rPr>
        <w:t xml:space="preserve">Espacio:</w:t>
      </w:r>
      <w:r>
        <w:t xml:space="preserve"> Distribución geográfica de los casos. Se utilizan herramientas de georreferenciación (QGIS/ArcGIS) para identificar "puntos calientes" cerca de ríos, pozos o vertederos.</w:t>
      </w:r>
    </w:p>
    <w:p>
      <w:pPr>
        <w:pStyle w:val="ListParagraph"/>
        <w:spacing w:after="60"/>
        <w:ind w:left="360" w:hanging="260"/>
        <w:contextualSpacing/>
      </w:pPr>
      <w:r>
        <w:t xml:space="preserve">•  </w:t>
      </w:r>
      <w:r>
        <w:rPr>
          <w:b/>
        </w:rPr>
        <w:t xml:space="preserve">Persona:</w:t>
      </w:r>
      <w:r>
        <w:t xml:space="preserve"> Distribución por edad, sexo y ocupación (ej. mayor susceptibilidad en niños para Malaria o ancianos para COVID-19).</w:t>
      </w:r>
    </w:p>
    <w:p>
      <w:pPr>
        <w:pStyle w:val="Heading3"/>
      </w:pPr>
      <w:r>
        <w:t xml:space="preserve">Paso 6: Generar hipótesis y control inmediato</w:t>
      </w:r>
    </w:p>
    <w:p>
      <w:r>
        <w:t xml:space="preserve">Planteamiento de la fuente probable, vehículo y modo de transmisión (ej. "contaminación de agua por rotura de tubería"). Se deben adoptar medidas de control preliminares (ej. hervir el agua) antes de tener resultados finales.</w:t>
      </w:r>
    </w:p>
    <w:p>
      <w:pPr>
        <w:pStyle w:val="Heading3"/>
      </w:pPr>
      <w:r>
        <w:t xml:space="preserve">Paso 7: Evaluación analítica de hipótesis 🧮</w:t>
      </w:r>
    </w:p>
    <w:p>
      <w:r>
        <w:t xml:space="preserve">Comparación de grupos de enfermos vs. sanos para cuantificar la fuerza de asociación mediante Tasas de Ataque y Riesgo de Tasa de Ataque (RTA).</w:t>
      </w:r>
    </w:p>
    <w:p>
      <w:pPr>
        <w:pStyle w:val="ListParagraph"/>
        <w:spacing w:after="60"/>
        <w:ind w:left="360" w:hanging="260"/>
        <w:contextualSpacing/>
      </w:pPr>
      <w:r>
        <w:t xml:space="preserve">•  </w:t>
      </w:r>
      <w:r>
        <w:rPr>
          <w:b/>
        </w:rPr>
        <w:t xml:space="preserve">Ejemplo:</w:t>
      </w:r>
      <w:r>
        <w:t xml:space="preserve"> Si el RTA de un alimento es &gt; 1 con significancia estadística, se confirma como el vehículo del brote.</w:t>
      </w:r>
    </w:p>
    <w:p>
      <w:pPr>
        <w:pStyle w:val="Heading3"/>
      </w:pPr>
      <w:r>
        <w:t xml:space="preserve">Paso 8: Poner en marcha medidas de control específicas</w:t>
      </w:r>
    </w:p>
    <w:p>
      <w:r>
        <w:t xml:space="preserve">Acciones definitivas según el hallazgo analítico:</w:t>
      </w:r>
    </w:p>
    <w:p>
      <w:pPr>
        <w:pStyle w:val="ListParagraph"/>
        <w:spacing w:after="60"/>
        <w:ind w:left="360" w:hanging="260"/>
        <w:contextualSpacing/>
      </w:pPr>
      <w:r>
        <w:t xml:space="preserve">•  </w:t>
      </w:r>
      <w:r>
        <w:rPr>
          <w:b/>
        </w:rPr>
        <w:t xml:space="preserve">Dirigidas al agente:</w:t>
      </w:r>
      <w:r>
        <w:t xml:space="preserve"> Eliminación de lotes de alimentos contaminados.</w:t>
      </w:r>
    </w:p>
    <w:p>
      <w:pPr>
        <w:pStyle w:val="ListParagraph"/>
        <w:spacing w:after="60"/>
        <w:ind w:left="360" w:hanging="260"/>
        <w:contextualSpacing/>
      </w:pPr>
      <w:r>
        <w:t xml:space="preserve">•  </w:t>
      </w:r>
      <w:r>
        <w:rPr>
          <w:b/>
        </w:rPr>
        <w:t xml:space="preserve">Dirigidas al huésped:</w:t>
      </w:r>
      <w:r>
        <w:t xml:space="preserve"> Vacunación de bloqueo, quimioprofilaxis o aislamiento.</w:t>
      </w:r>
    </w:p>
    <w:p>
      <w:pPr>
        <w:pStyle w:val="ListParagraph"/>
        <w:spacing w:after="60"/>
        <w:ind w:left="360" w:hanging="260"/>
        <w:contextualSpacing/>
      </w:pPr>
      <w:r>
        <w:t xml:space="preserve">•  </w:t>
      </w:r>
      <w:r>
        <w:rPr>
          <w:b/>
        </w:rPr>
        <w:t xml:space="preserve">Dirigidas al ambiente:</w:t>
      </w:r>
      <w:r>
        <w:t xml:space="preserve"> Saneamiento, fumigación o cloración de depósitos.</w:t>
      </w:r>
    </w:p>
    <w:p>
      <w:pPr>
        <w:pStyle w:val="Heading3"/>
      </w:pPr>
      <w:r>
        <w:t xml:space="preserve">Paso 10: Preparación del informe técnico final</w:t>
      </w:r>
    </w:p>
    <w:p>
      <w:r>
        <w:t xml:space="preserve">Documento que describe el brote, las medidas adoptadas, su efectividad y recomendaciones futuras para evitar la reemergencia de la enfermedad (ej. casos de Tuberculosis o Fiebre Amarilla).</w:t>
      </w:r>
    </w:p>
    <w:p>
      <w:pPr>
        <w:pStyle w:val="Heading2"/>
      </w:pPr>
      <w:r>
        <w:t xml:space="preserve">IV. Casos Clínicos y Ejemplos Relevantes</w:t>
      </w:r>
    </w:p>
    <w:p>
      <w:pPr>
        <w:pStyle w:val="ListParagraph"/>
        <w:spacing w:after="60"/>
        <w:ind w:left="360" w:hanging="260"/>
        <w:contextualSpacing/>
      </w:pPr>
      <w:r>
        <w:t xml:space="preserve">•  </w:t>
      </w:r>
      <w:r>
        <w:rPr>
          <w:b/>
        </w:rPr>
        <w:t xml:space="preserve">Parálisis Flácida Aguda (Polio):</w:t>
      </w:r>
      <w:r>
        <w:t xml:space="preserve"> Se describe un caso en un niño campesino de una vereda de Caldas. Tras la investigación analítica, se descubrió que no fue un brote por virus salvaje, sino una susceptibilidad hereditaria a la vacuna oral, lo que permitió a Colombia mantener su estatus de país libre de polio.</w:t>
      </w:r>
    </w:p>
    <w:p>
      <w:pPr>
        <w:pStyle w:val="ListParagraph"/>
        <w:spacing w:after="60"/>
        <w:ind w:left="360" w:hanging="260"/>
        <w:contextualSpacing/>
      </w:pPr>
      <w:r>
        <w:t xml:space="preserve">•  </w:t>
      </w:r>
      <w:r>
        <w:rPr>
          <w:b/>
        </w:rPr>
        <w:t xml:space="preserve">Tuberculosis:</w:t>
      </w:r>
      <w:r>
        <w:t xml:space="preserve"> Considerada enfermedad reemergente. La investigación de brote debe ir más allá del hogar y buscar contactos en el sitio de trabajo y redes sociales (habitantes de calle), dado que son focos críticos de transmisión.</w:t>
      </w:r>
    </w:p>
    <w:p>
      <w:pPr>
        <w:pStyle w:val="ListParagraph"/>
        <w:spacing w:after="60"/>
        <w:ind w:left="360" w:hanging="260"/>
        <w:contextualSpacing/>
      </w:pPr>
      <w:r>
        <w:t xml:space="preserve">•  </w:t>
      </w:r>
      <w:r>
        <w:rPr>
          <w:b/>
        </w:rPr>
        <w:t xml:space="preserve">Dengue y Malaria:</w:t>
      </w:r>
      <w:r>
        <w:t xml:space="preserve"> Se enfatiza la búsqueda en grupos de riesgo identificables, como resguardos indígenas para malaria, debido a factores geográficos y de susceptibilidad epidemiológica.</w:t>
      </w:r>
    </w:p>
    <w:p>
      <w:pPr>
        <w:pStyle w:val="Heading1"/>
      </w:pPr>
      <w:r>
        <w:t xml:space="preserve">TEMA 4 — Tasas de Ataque (Primaria y Secundaria) 🧮</w:t>
      </w:r>
    </w:p>
    <w:p>
      <w:pPr>
        <w:pStyle w:val="Heading2"/>
      </w:pPr>
      <w:r>
        <w:t xml:space="preserve">I. Tasa de Ataque (Incidencia en el Brote)</w:t>
      </w:r>
    </w:p>
    <w:p>
      <w:pPr>
        <w:pStyle w:val="Heading3"/>
      </w:pPr>
      <w:r>
        <w:t xml:space="preserve">1.1 Definición Exacta y Terminología Técnica</w:t>
      </w:r>
    </w:p>
    <w:p>
      <w:r>
        <w:t xml:space="preserve">La Tasa de Ataque se define técnicamente como la tasa de incidencia acumulada que se registra específicamente durante el curso de un brote de una determinada patología. Representa la probabilidad o riesgo de contraer la enfermedad en una población bien definida y acotada que ha estado expuesta a un agente causal común. A diferencia de la tasa de incidencia habitual, su denominador es estrictamente la población expuesta al riesgo en un periodo de tiempo muy limitado.</w:t>
      </w:r>
    </w:p>
    <w:p>
      <w:pPr>
        <w:pStyle w:val="Heading3"/>
      </w:pPr>
      <w:r>
        <w:t xml:space="preserve">1.2 Explicación y Utilidad del Concepto</w:t>
      </w:r>
    </w:p>
    <w:p>
      <w:r>
        <w:t xml:space="preserve">En la epidemiología de campo, este indicador es fundamental para cuantificar la magnitud del evento. Su utilidad principal radica en:</w:t>
      </w:r>
    </w:p>
    <w:p>
      <w:pPr>
        <w:pStyle w:val="ListParagraph"/>
        <w:spacing w:after="60"/>
        <w:ind w:left="360" w:hanging="260"/>
        <w:contextualSpacing/>
      </w:pPr>
      <w:r>
        <w:t xml:space="preserve">•  </w:t>
      </w:r>
      <w:r>
        <w:rPr>
          <w:b/>
        </w:rPr>
        <w:t xml:space="preserve">Identificar la fuerza del brote:</w:t>
      </w:r>
      <w:r>
        <w:t xml:space="preserve"> Permite determinar qué tan "explosivo" es el evento.</w:t>
      </w:r>
    </w:p>
    <w:p>
      <w:pPr>
        <w:pStyle w:val="ListParagraph"/>
        <w:spacing w:after="60"/>
        <w:ind w:left="360" w:hanging="260"/>
        <w:contextualSpacing/>
      </w:pPr>
      <w:r>
        <w:t xml:space="preserve">•  </w:t>
      </w:r>
      <w:r>
        <w:rPr>
          <w:b/>
        </w:rPr>
        <w:t xml:space="preserve">Evaluar la virulencia del agente:</w:t>
      </w:r>
      <w:r>
        <w:t xml:space="preserve"> Indica la capacidad del patógeno para producir enfermedad en los expuestos.</w:t>
      </w:r>
    </w:p>
    <w:p>
      <w:pPr>
        <w:pStyle w:val="ListParagraph"/>
        <w:spacing w:after="60"/>
        <w:ind w:left="360" w:hanging="260"/>
        <w:contextualSpacing/>
      </w:pPr>
      <w:r>
        <w:t xml:space="preserve">•  </w:t>
      </w:r>
      <w:r>
        <w:rPr>
          <w:b/>
        </w:rPr>
        <w:t xml:space="preserve">Comparar riesgos:</w:t>
      </w:r>
      <w:r>
        <w:t xml:space="preserve"> Es la base para determinar qué factores o vehículos están asociados a la aparición de los casos.</w:t>
      </w:r>
    </w:p>
    <w:p>
      <w:pPr>
        <w:pStyle w:val="Heading3"/>
      </w:pPr>
      <w:r>
        <w:t xml:space="preserve">1.3 Fórmula y Unidades 🧮</w:t>
      </w:r>
    </w:p>
    <w:p>
      <w:r>
        <w:t xml:space="preserve">La tasa de ataque siempre se expresa en porcentajes (%).</w:t>
      </w:r>
    </w:p>
    <w:p>
      <w:pPr>
        <w:jc w:val="center"/>
        <w:spacing w:before="120" w:after="120"/>
      </w:pPr>
      <m:oMathPara>
        <m:oMath>
          <m:r>
            <m:t xml:space="preserve">Tasa de Ataque = </m:t>
          </m:r>
          <m:d>
            <m:dPr>
              <m:begChr m:val="("/>
              <m:endChr m:val=")"/>
            </m:dPr>
            <m:e>
              <m:r>
                <m:t xml:space="preserve"> </m:t>
              </m:r>
              <m:f>
                <m:num>
                  <m:r>
                    <m:rPr>
                      <m:nor/>
                    </m:rPr>
                    <m:t xml:space="preserve">Número de casos observados</m:t>
                  </m:r>
                </m:num>
                <m:den>
                  <m:r>
                    <m:rPr>
                      <m:nor/>
                    </m:rPr>
                    <m:t xml:space="preserve">Población expuesta al riesgo</m:t>
                  </m:r>
                </m:den>
              </m:f>
              <m:r>
                <m:t xml:space="preserve"> </m:t>
              </m:r>
            </m:e>
          </m:d>
          <m:r>
            <m:t xml:space="preserve"> × 100</m:t>
          </m:r>
        </m:oMath>
      </m:oMathPara>
    </w:p>
    <w:p>
      <w:r>
        <w:rPr>
          <w:b/>
        </w:rPr>
        <w:t xml:space="preserve">Variables:</w:t>
      </w:r>
    </w:p>
    <w:p>
      <w:pPr>
        <w:pStyle w:val="ListParagraph"/>
        <w:spacing w:after="60"/>
        <w:ind w:left="360" w:hanging="260"/>
        <w:contextualSpacing/>
      </w:pPr>
      <w:r>
        <w:t xml:space="preserve">•  </w:t>
      </w:r>
      <w:r>
        <w:rPr>
          <w:b/>
        </w:rPr>
        <w:t xml:space="preserve">Numerador:</w:t>
      </w:r>
      <w:r>
        <w:t xml:space="preserve"> Total de individuos que desarrollaron la enfermedad tras la exposición.</w:t>
      </w:r>
    </w:p>
    <w:p>
      <w:pPr>
        <w:pStyle w:val="ListParagraph"/>
        <w:spacing w:after="60"/>
        <w:ind w:left="360" w:hanging="260"/>
        <w:contextualSpacing/>
      </w:pPr>
      <w:r>
        <w:t xml:space="preserve">•  </w:t>
      </w:r>
      <w:r>
        <w:rPr>
          <w:b/>
        </w:rPr>
        <w:t xml:space="preserve">Denominador:</w:t>
      </w:r>
      <w:r>
        <w:t xml:space="preserve"> Total de personas presentes en el momento de la exposición que eran susceptibles.</w:t>
      </w:r>
    </w:p>
    <w:p>
      <w:pPr>
        <w:pStyle w:val="Heading2"/>
      </w:pPr>
      <w:r>
        <w:t xml:space="preserve">II. Tasa de Ataque Secundario (TAS)</w:t>
      </w:r>
    </w:p>
    <w:p>
      <w:pPr>
        <w:pStyle w:val="Heading3"/>
      </w:pPr>
      <w:r>
        <w:t xml:space="preserve">2.1 Definición Exacta y Terminología Técnica</w:t>
      </w:r>
    </w:p>
    <w:p>
      <w:r>
        <w:t xml:space="preserve">La Tasa de Ataque Secundario (TAS) es un indicador epidemiológico utilizado para medir la morbilidad de una enfermedad transmisible entre los contactos que conviven con los casos primarios (casos iniciales del brote).</w:t>
      </w:r>
    </w:p>
    <w:p>
      <w:pPr>
        <w:pStyle w:val="Heading3"/>
      </w:pPr>
      <w:r>
        <w:t xml:space="preserve">2.2 Explicación del Concepto</w:t>
      </w:r>
    </w:p>
    <w:p>
      <w:r>
        <w:t xml:space="preserve">Este indicador mide la infectividad o transmisibilidad del agente en condiciones de contacto estrecho (hogares, aulas, cárceles). Para su cálculo, es imperativo identificar a los "contactos susceptibles", es decir, aquellos que no tienen inmunidad previa por vacunación o enfermedad antigua.</w:t>
      </w:r>
    </w:p>
    <w:p>
      <w:pPr>
        <w:pStyle w:val="Heading3"/>
      </w:pPr>
      <w:r>
        <w:t xml:space="preserve">2.3 Ejemplo Práctico: Brote de Varicela en Aula</w:t>
      </w:r>
    </w:p>
    <w:p>
      <w:r>
        <w:t xml:space="preserve">En una investigación de campo, se analiza un aula de clase tras la aparición de un caso índice de varicela:</w:t>
      </w:r>
    </w:p>
    <w:p>
      <w:pPr>
        <w:pStyle w:val="ListParagraph"/>
        <w:spacing w:after="60"/>
        <w:ind w:left="360" w:hanging="260"/>
        <w:contextualSpacing/>
      </w:pPr>
      <w:r>
        <w:t xml:space="preserve">•  </w:t>
      </w:r>
      <w:r>
        <w:rPr>
          <w:b/>
        </w:rPr>
        <w:t xml:space="preserve">Contactos susceptibles:</w:t>
      </w:r>
      <w:r>
        <w:t xml:space="preserve"> 22 niños (sin vacunas y sin haber tenido la enfermedad previamente).</w:t>
      </w:r>
    </w:p>
    <w:p>
      <w:pPr>
        <w:pStyle w:val="ListParagraph"/>
        <w:spacing w:after="60"/>
        <w:ind w:left="360" w:hanging="260"/>
        <w:contextualSpacing/>
      </w:pPr>
      <w:r>
        <w:t xml:space="preserve">•  </w:t>
      </w:r>
      <w:r>
        <w:rPr>
          <w:b/>
        </w:rPr>
        <w:t xml:space="preserve">Nuevos casos (secundarios):</w:t>
      </w:r>
      <w:r>
        <w:t xml:space="preserve"> 8 niños que enfermaron en los 21 días siguientes (periodo de incubación).</w:t>
      </w:r>
    </w:p>
    <w:p>
      <w:pPr>
        <w:pStyle w:val="Heading3"/>
      </w:pPr>
      <w:r>
        <w:t xml:space="preserve">2.4 Fórmula y Ejemplo Numérico Resuelto 🧮</w:t>
      </w:r>
    </w:p>
    <w:p>
      <w:pPr>
        <w:jc w:val="center"/>
        <w:spacing w:before="120" w:after="120"/>
      </w:pPr>
      <m:oMathPara>
        <m:oMath>
          <m:r>
            <m:t xml:space="preserve">TAS = </m:t>
          </m:r>
          <m:d>
            <m:dPr>
              <m:begChr m:val="("/>
              <m:endChr m:val=")"/>
            </m:dPr>
            <m:e>
              <m:r>
                <m:t xml:space="preserve"> </m:t>
              </m:r>
              <m:f>
                <m:num>
                  <m:r>
                    <m:rPr>
                      <m:nor/>
                    </m:rPr>
                    <m:t xml:space="preserve">Total de casos entre los contactos</m:t>
                  </m:r>
                </m:num>
                <m:den>
                  <m:r>
                    <m:rPr>
                      <m:nor/>
                    </m:rPr>
                    <m:t xml:space="preserve">Población expuesta al riesgo (contactos susceptibles)</m:t>
                  </m:r>
                </m:den>
              </m:f>
              <m:r>
                <m:t xml:space="preserve"> </m:t>
              </m:r>
            </m:e>
          </m:d>
          <m:r>
            <m:t xml:space="preserve"> × 100</m:t>
          </m:r>
        </m:oMath>
      </m:oMathPara>
    </w:p>
    <w:p>
      <w:r>
        <w:rPr>
          <w:b/>
        </w:rPr>
        <w:t xml:space="preserve">Paso a paso del ejemplo de varicela:</w:t>
      </w:r>
    </w:p>
    <w:p>
      <w:pPr>
        <w:pStyle w:val="ListParagraph"/>
        <w:spacing w:after="60"/>
        <w:ind w:left="360" w:hanging="260"/>
        <w:contextualSpacing/>
      </w:pPr>
      <w:r>
        <w:t xml:space="preserve">•  </w:t>
      </w:r>
      <w:r>
        <w:rPr>
          <w:b/>
        </w:rPr>
        <w:t xml:space="preserve">Identificar el numerador:</w:t>
      </w:r>
      <w:r>
        <w:t xml:space="preserve"> 8 casos secundarios.</w:t>
      </w:r>
    </w:p>
    <w:p>
      <w:pPr>
        <w:pStyle w:val="ListParagraph"/>
        <w:spacing w:after="60"/>
        <w:ind w:left="360" w:hanging="260"/>
        <w:contextualSpacing/>
      </w:pPr>
      <w:r>
        <w:t xml:space="preserve">•  </w:t>
      </w:r>
      <w:r>
        <w:rPr>
          <w:b/>
        </w:rPr>
        <w:t xml:space="preserve">Identificar el denominador:</w:t>
      </w:r>
      <w:r>
        <w:t xml:space="preserve"> 22 contactos susceptibles.</w:t>
      </w:r>
    </w:p>
    <w:p>
      <w:pPr>
        <w:pStyle w:val="ListParagraph"/>
        <w:spacing w:after="60"/>
        <w:ind w:left="360" w:hanging="260"/>
        <w:contextualSpacing/>
      </w:pPr>
      <w:r>
        <w:t xml:space="preserve">•  </w:t>
      </w:r>
      <w:r>
        <w:rPr>
          <w:b/>
        </w:rPr>
        <w:t xml:space="preserve">Cálculo:</w:t>
      </w:r>
      <w:r>
        <w:t xml:space="preserve"> </w:t>
      </w:r>
      <m:oMath>
        <m:r>
          <m:t xml:space="preserve">(8 / 22) × 100 = 36,36%</m:t>
        </m:r>
      </m:oMath>
      <w:r>
        <w:t xml:space="preserve">.</w:t>
      </w:r>
    </w:p>
    <w:p>
      <w:r>
        <w:rPr>
          <w:b/>
        </w:rPr>
        <w:t xml:space="preserve">Interpretación:</w:t>
      </w:r>
      <w:r>
        <w:t xml:space="preserve"> La TAS del 36,4% indica una transmisibilidad moderada en el aula de clase. En contraste, el sarampión en hogares suele alcanzar una TAS del 75-90%.</w:t>
      </w:r>
    </w:p>
    <w:p>
      <w:pPr>
        <w:pStyle w:val="Heading2"/>
      </w:pPr>
      <w:r>
        <w:t xml:space="preserve">III. Riesgo de Tasa de Ataque (RTA) e Identificación de Vehículos</w:t>
      </w:r>
    </w:p>
    <w:p>
      <w:pPr>
        <w:pStyle w:val="Heading3"/>
      </w:pPr>
      <w:r>
        <w:t xml:space="preserve">3.1 Definición y Utilidad del RTA</w:t>
      </w:r>
    </w:p>
    <w:p>
      <w:r>
        <w:t xml:space="preserve">El Riesgo de Tasa de Ataque (RTA) es el cociente entre la tasa de ataque de los que estuvieron expuestos a un factor (ej. consumieron un alimento) y la tasa de ataque de los que no lo estuvieron. Es la herramienta analítica definitiva para identificar la fuente de un brote alimentario.</w:t>
      </w:r>
    </w:p>
    <w:p>
      <w:pPr>
        <w:pStyle w:val="Heading3"/>
      </w:pPr>
      <w:r>
        <w:t xml:space="preserve">3.2 Ejemplo Maestro: Intoxicación Alimentaria (Polio vs. Ensalada)</w:t>
      </w:r>
    </w:p>
    <w:p>
      <w:r>
        <w:t xml:space="preserve">Se analiza un brote en un comedor escolar con 150 estudiantes:</w:t>
      </w:r>
    </w:p>
    <w:tbl>
      <w:tblPr>
        <w:tblStyle w:val="GridTable"/>
        <w:tblW w:w="9300" w:type="dxa"/>
        <w:tblBorders>
          <w:top w:val="single" w:sz="4" w:color="9DB7D5"/>
          <w:left w:val="single" w:sz="4" w:color="9DB7D5"/>
          <w:bottom w:val="single" w:sz="4" w:color="9DB7D5"/>
          <w:right w:val="single" w:sz="4" w:color="9DB7D5"/>
          <w:insideH w:val="single" w:sz="4" w:color="D6E0EE"/>
          <w:insideV w:val="single" w:sz="4" w:color="D6E0EE"/>
        </w:tblBorders>
        <w:tblLook w:val="04A0"/>
      </w:tblPr>
      <w:tblGrid>
        <w:gridCol w:w="1000"/>
        <w:gridCol w:w="1250"/>
        <w:gridCol w:w="1150"/>
        <w:gridCol w:w="1050"/>
        <w:gridCol w:w="1250"/>
        <w:gridCol w:w="1150"/>
        <w:gridCol w:w="1100"/>
        <w:gridCol w:w="1120"/>
      </w:tblGrid>
      <w:tr>
        <w:trPr>
          <w:tblHeader/>
        </w:trPr>
        <w:tc>
          <w:tcPr>
            <w:tcW w:w="1000" w:type="dxa"/>
            <w:shd w:val="clear" w:color="auto" w:fill="2E74B5"/>
            <w:vAlign w:val="center"/>
          </w:tcPr>
          <w:p>
            <w:pPr>
              <w:spacing w:before="20" w:after="20"/>
              <w:jc w:val="left"/>
            </w:pPr>
            <w:r>
              <w:rPr>
                <w:b/>
                <w:color w:val="FFFFFF"/>
              </w:rPr>
              <w:t xml:space="preserve">Alimento</w:t>
            </w:r>
          </w:p>
        </w:tc>
        <w:tc>
          <w:tcPr>
            <w:tcW w:w="1250" w:type="dxa"/>
            <w:shd w:val="clear" w:color="auto" w:fill="2E74B5"/>
            <w:vAlign w:val="center"/>
          </w:tcPr>
          <w:p>
            <w:pPr>
              <w:spacing w:before="20" w:after="20"/>
              <w:jc w:val="center"/>
            </w:pPr>
            <w:r>
              <w:rPr>
                <w:b/>
                <w:color w:val="FFFFFF"/>
              </w:rPr>
              <w:t xml:space="preserve">Enfermos que COMIERON</w:t>
            </w:r>
          </w:p>
        </w:tc>
        <w:tc>
          <w:tcPr>
            <w:tcW w:w="1150" w:type="dxa"/>
            <w:shd w:val="clear" w:color="auto" w:fill="2E74B5"/>
            <w:vAlign w:val="center"/>
          </w:tcPr>
          <w:p>
            <w:pPr>
              <w:spacing w:before="20" w:after="20"/>
              <w:jc w:val="center"/>
            </w:pPr>
            <w:r>
              <w:rPr>
                <w:b/>
                <w:color w:val="FFFFFF"/>
              </w:rPr>
              <w:t xml:space="preserve">Total que COMIERON</w:t>
            </w:r>
          </w:p>
        </w:tc>
        <w:tc>
          <w:tcPr>
            <w:tcW w:w="1050" w:type="dxa"/>
            <w:shd w:val="clear" w:color="auto" w:fill="2E74B5"/>
            <w:vAlign w:val="center"/>
          </w:tcPr>
          <w:p>
            <w:pPr>
              <w:spacing w:before="20" w:after="20"/>
              <w:jc w:val="center"/>
            </w:pPr>
            <w:r>
              <w:rPr>
                <w:b/>
                <w:color w:val="FFFFFF"/>
              </w:rPr>
              <w:t xml:space="preserve">TA Expuestos</w:t>
            </w:r>
          </w:p>
        </w:tc>
        <w:tc>
          <w:tcPr>
            <w:tcW w:w="1250" w:type="dxa"/>
            <w:shd w:val="clear" w:color="auto" w:fill="2E74B5"/>
            <w:vAlign w:val="center"/>
          </w:tcPr>
          <w:p>
            <w:pPr>
              <w:spacing w:before="20" w:after="20"/>
              <w:jc w:val="center"/>
            </w:pPr>
            <w:r>
              <w:rPr>
                <w:b/>
                <w:color w:val="FFFFFF"/>
              </w:rPr>
              <w:t xml:space="preserve">Enfermos que NO comieron</w:t>
            </w:r>
          </w:p>
        </w:tc>
        <w:tc>
          <w:tcPr>
            <w:tcW w:w="1150" w:type="dxa"/>
            <w:shd w:val="clear" w:color="auto" w:fill="2E74B5"/>
            <w:vAlign w:val="center"/>
          </w:tcPr>
          <w:p>
            <w:pPr>
              <w:spacing w:before="20" w:after="20"/>
              <w:jc w:val="center"/>
            </w:pPr>
            <w:r>
              <w:rPr>
                <w:b/>
                <w:color w:val="FFFFFF"/>
              </w:rPr>
              <w:t xml:space="preserve">Total que NO comieron</w:t>
            </w:r>
          </w:p>
        </w:tc>
        <w:tc>
          <w:tcPr>
            <w:tcW w:w="1100" w:type="dxa"/>
            <w:shd w:val="clear" w:color="auto" w:fill="2E74B5"/>
            <w:vAlign w:val="center"/>
          </w:tcPr>
          <w:p>
            <w:pPr>
              <w:spacing w:before="20" w:after="20"/>
              <w:jc w:val="center"/>
            </w:pPr>
            <w:r>
              <w:rPr>
                <w:b/>
                <w:color w:val="FFFFFF"/>
              </w:rPr>
              <w:t xml:space="preserve">TA No Expuestos</w:t>
            </w:r>
          </w:p>
        </w:tc>
        <w:tc>
          <w:tcPr>
            <w:tcW w:w="1120" w:type="dxa"/>
            <w:shd w:val="clear" w:color="auto" w:fill="2E74B5"/>
            <w:vAlign w:val="center"/>
          </w:tcPr>
          <w:p>
            <w:pPr>
              <w:spacing w:before="20" w:after="20"/>
              <w:jc w:val="center"/>
            </w:pPr>
            <w:r>
              <w:rPr>
                <w:b/>
                <w:color w:val="FFFFFF"/>
              </w:rPr>
              <w:t xml:space="preserve">RTA</w:t>
            </w:r>
          </w:p>
        </w:tc>
      </w:tr>
      <w:tr>
        <w:tc>
          <w:tcPr>
            <w:tcW w:w="1000" w:type="dxa"/>
            <w:shd w:val="clear" w:color="auto" w:fill="EAF1FA"/>
            <w:vAlign w:val="center"/>
          </w:tcPr>
          <w:p>
            <w:pPr>
              <w:spacing w:before="20" w:after="20"/>
              <w:jc w:val="left"/>
            </w:pPr>
            <w:r>
              <w:rPr>
                <w:b/>
              </w:rPr>
              <w:t xml:space="preserve">Pollo</w:t>
            </w:r>
          </w:p>
        </w:tc>
        <w:tc>
          <w:tcPr>
            <w:tcW w:w="1250" w:type="dxa"/>
            <w:shd w:val="clear" w:color="auto" w:fill="EAF1FA"/>
            <w:vAlign w:val="center"/>
          </w:tcPr>
          <w:p>
            <w:pPr>
              <w:spacing w:before="20" w:after="20"/>
              <w:jc w:val="center"/>
            </w:pPr>
            <w:r>
              <w:t xml:space="preserve">63</w:t>
            </w:r>
          </w:p>
        </w:tc>
        <w:tc>
          <w:tcPr>
            <w:tcW w:w="1150" w:type="dxa"/>
            <w:shd w:val="clear" w:color="auto" w:fill="EAF1FA"/>
            <w:vAlign w:val="center"/>
          </w:tcPr>
          <w:p>
            <w:pPr>
              <w:spacing w:before="20" w:after="20"/>
              <w:jc w:val="center"/>
            </w:pPr>
            <w:r>
              <w:t xml:space="preserve">90</w:t>
            </w:r>
          </w:p>
        </w:tc>
        <w:tc>
          <w:tcPr>
            <w:tcW w:w="1050" w:type="dxa"/>
            <w:shd w:val="clear" w:color="auto" w:fill="EAF1FA"/>
            <w:vAlign w:val="center"/>
          </w:tcPr>
          <w:p>
            <w:pPr>
              <w:spacing w:before="20" w:after="20"/>
              <w:jc w:val="center"/>
            </w:pPr>
            <w:r>
              <w:t xml:space="preserve">70,0%</w:t>
            </w:r>
          </w:p>
        </w:tc>
        <w:tc>
          <w:tcPr>
            <w:tcW w:w="1250" w:type="dxa"/>
            <w:shd w:val="clear" w:color="auto" w:fill="EAF1FA"/>
            <w:vAlign w:val="center"/>
          </w:tcPr>
          <w:p>
            <w:pPr>
              <w:spacing w:before="20" w:after="20"/>
              <w:jc w:val="center"/>
            </w:pPr>
            <w:r>
              <w:t xml:space="preserve">6</w:t>
            </w:r>
          </w:p>
        </w:tc>
        <w:tc>
          <w:tcPr>
            <w:tcW w:w="1150" w:type="dxa"/>
            <w:shd w:val="clear" w:color="auto" w:fill="EAF1FA"/>
            <w:vAlign w:val="center"/>
          </w:tcPr>
          <w:p>
            <w:pPr>
              <w:spacing w:before="20" w:after="20"/>
              <w:jc w:val="center"/>
            </w:pPr>
            <w:r>
              <w:t xml:space="preserve">60</w:t>
            </w:r>
          </w:p>
        </w:tc>
        <w:tc>
          <w:tcPr>
            <w:tcW w:w="1100" w:type="dxa"/>
            <w:shd w:val="clear" w:color="auto" w:fill="EAF1FA"/>
            <w:vAlign w:val="center"/>
          </w:tcPr>
          <w:p>
            <w:pPr>
              <w:spacing w:before="20" w:after="20"/>
              <w:jc w:val="center"/>
            </w:pPr>
            <w:r>
              <w:t xml:space="preserve">10,0%</w:t>
            </w:r>
          </w:p>
        </w:tc>
        <w:tc>
          <w:tcPr>
            <w:tcW w:w="1120" w:type="dxa"/>
            <w:shd w:val="clear" w:color="auto" w:fill="EAF1FA"/>
            <w:vAlign w:val="center"/>
          </w:tcPr>
          <w:p>
            <w:pPr>
              <w:spacing w:before="20" w:after="20"/>
              <w:jc w:val="center"/>
            </w:pPr>
            <w:r>
              <w:t xml:space="preserve">7,0</w:t>
            </w:r>
          </w:p>
        </w:tc>
      </w:tr>
      <w:tr>
        <w:tc>
          <w:tcPr>
            <w:tcW w:w="1000" w:type="dxa"/>
            <w:vAlign w:val="center"/>
          </w:tcPr>
          <w:p>
            <w:pPr>
              <w:spacing w:before="20" w:after="20"/>
              <w:jc w:val="left"/>
            </w:pPr>
            <w:r>
              <w:rPr>
                <w:b/>
              </w:rPr>
              <w:t xml:space="preserve">Ensalada</w:t>
            </w:r>
          </w:p>
        </w:tc>
        <w:tc>
          <w:tcPr>
            <w:tcW w:w="1250" w:type="dxa"/>
            <w:vAlign w:val="center"/>
          </w:tcPr>
          <w:p>
            <w:pPr>
              <w:spacing w:before="20" w:after="20"/>
              <w:jc w:val="center"/>
            </w:pPr>
            <w:r>
              <w:t xml:space="preserve">44</w:t>
            </w:r>
          </w:p>
        </w:tc>
        <w:tc>
          <w:tcPr>
            <w:tcW w:w="1150" w:type="dxa"/>
            <w:vAlign w:val="center"/>
          </w:tcPr>
          <w:p>
            <w:pPr>
              <w:spacing w:before="20" w:after="20"/>
              <w:jc w:val="center"/>
            </w:pPr>
            <w:r>
              <w:t xml:space="preserve">110</w:t>
            </w:r>
          </w:p>
        </w:tc>
        <w:tc>
          <w:tcPr>
            <w:tcW w:w="1050" w:type="dxa"/>
            <w:vAlign w:val="center"/>
          </w:tcPr>
          <w:p>
            <w:pPr>
              <w:spacing w:before="20" w:after="20"/>
              <w:jc w:val="center"/>
            </w:pPr>
            <w:r>
              <w:t xml:space="preserve">40,0%</w:t>
            </w:r>
          </w:p>
        </w:tc>
        <w:tc>
          <w:tcPr>
            <w:tcW w:w="1250" w:type="dxa"/>
            <w:vAlign w:val="center"/>
          </w:tcPr>
          <w:p>
            <w:pPr>
              <w:spacing w:before="20" w:after="20"/>
              <w:jc w:val="center"/>
            </w:pPr>
            <w:r>
              <w:t xml:space="preserve">25</w:t>
            </w:r>
          </w:p>
        </w:tc>
        <w:tc>
          <w:tcPr>
            <w:tcW w:w="1150" w:type="dxa"/>
            <w:vAlign w:val="center"/>
          </w:tcPr>
          <w:p>
            <w:pPr>
              <w:spacing w:before="20" w:after="20"/>
              <w:jc w:val="center"/>
            </w:pPr>
            <w:r>
              <w:t xml:space="preserve">40</w:t>
            </w:r>
          </w:p>
        </w:tc>
        <w:tc>
          <w:tcPr>
            <w:tcW w:w="1100" w:type="dxa"/>
            <w:vAlign w:val="center"/>
          </w:tcPr>
          <w:p>
            <w:pPr>
              <w:spacing w:before="20" w:after="20"/>
              <w:jc w:val="center"/>
            </w:pPr>
            <w:r>
              <w:t xml:space="preserve">62,5%</w:t>
            </w:r>
          </w:p>
        </w:tc>
        <w:tc>
          <w:tcPr>
            <w:tcW w:w="1120" w:type="dxa"/>
            <w:vAlign w:val="center"/>
          </w:tcPr>
          <w:p>
            <w:pPr>
              <w:spacing w:before="20" w:after="20"/>
              <w:jc w:val="center"/>
            </w:pPr>
            <w:r>
              <w:t xml:space="preserve">0,64</w:t>
            </w:r>
          </w:p>
        </w:tc>
      </w:tr>
    </w:tbl>
    <w:p>
      <w:pPr>
        <w:pStyle w:val="Heading3"/>
      </w:pPr>
      <w:r>
        <w:t xml:space="preserve">3.3 Fórmula y Análisis de Resultados 🧮</w:t>
      </w:r>
    </w:p>
    <w:p>
      <w:pPr>
        <w:jc w:val="center"/>
        <w:spacing w:before="120" w:after="120"/>
      </w:pPr>
      <m:oMathPara>
        <m:oMath>
          <m:r>
            <m:t xml:space="preserve">RTA = </m:t>
          </m:r>
          <m:f>
            <m:num>
              <m:r>
                <m:t xml:space="preserve">Tasa de Ataque en Expuestos</m:t>
              </m:r>
            </m:num>
            <m:den>
              <m:r>
                <m:t xml:space="preserve">Tasa de Ataque en No Expuestos</m:t>
              </m:r>
            </m:den>
          </m:f>
        </m:oMath>
      </m:oMathPara>
    </w:p>
    <w:p>
      <w:r>
        <w:rPr>
          <w:b/>
        </w:rPr>
        <w:t xml:space="preserve">Paso a paso del análisis del pollo:</w:t>
      </w:r>
    </w:p>
    <w:p>
      <w:pPr>
        <w:pStyle w:val="ListParagraph"/>
        <w:spacing w:after="60"/>
        <w:ind w:left="360" w:hanging="260"/>
        <w:contextualSpacing/>
      </w:pPr>
      <w:r>
        <w:t xml:space="preserve">•  </w:t>
      </w:r>
      <w:r>
        <w:rPr>
          <w:b/>
        </w:rPr>
        <w:t xml:space="preserve">TA Expuestos:</w:t>
      </w:r>
      <w:r>
        <w:t xml:space="preserve"> </w:t>
      </w:r>
      <m:oMath>
        <m:r>
          <m:t xml:space="preserve">(63 / 90) × 100 = 70,0%</m:t>
        </m:r>
      </m:oMath>
      <w:r>
        <w:t xml:space="preserve">.</w:t>
      </w:r>
    </w:p>
    <w:p>
      <w:pPr>
        <w:pStyle w:val="ListParagraph"/>
        <w:spacing w:after="60"/>
        <w:ind w:left="360" w:hanging="260"/>
        <w:contextualSpacing/>
      </w:pPr>
      <w:r>
        <w:t xml:space="preserve">•  </w:t>
      </w:r>
      <w:r>
        <w:rPr>
          <w:b/>
        </w:rPr>
        <w:t xml:space="preserve">TA No Expuestos:</w:t>
      </w:r>
      <w:r>
        <w:t xml:space="preserve"> </w:t>
      </w:r>
      <m:oMath>
        <m:r>
          <m:t xml:space="preserve">(6 / 60) × 100 = 10,0%</m:t>
        </m:r>
      </m:oMath>
      <w:r>
        <w:t xml:space="preserve">.</w:t>
      </w:r>
    </w:p>
    <w:p>
      <w:pPr>
        <w:pStyle w:val="ListParagraph"/>
        <w:spacing w:after="60"/>
        <w:ind w:left="360" w:hanging="260"/>
        <w:contextualSpacing/>
      </w:pPr>
      <w:r>
        <w:t xml:space="preserve">•  </w:t>
      </w:r>
      <w:r>
        <w:rPr>
          <w:b/>
        </w:rPr>
        <w:t xml:space="preserve">Cálculo del RTA:</w:t>
      </w:r>
      <w:r>
        <w:t xml:space="preserve"> </w:t>
      </w:r>
      <m:oMath>
        <m:r>
          <m:t xml:space="preserve">70,0 / 10,0 = 7,0</m:t>
        </m:r>
      </m:oMath>
      <w:r>
        <w:t xml:space="preserve">.</w:t>
      </w:r>
    </w:p>
    <w:p>
      <w:r>
        <w:rPr>
          <w:b/>
        </w:rPr>
        <w:t xml:space="preserve">Interpretación Técnica:</w:t>
      </w:r>
    </w:p>
    <w:p>
      <w:pPr>
        <w:pStyle w:val="ListParagraph"/>
        <w:spacing w:after="60"/>
        <w:ind w:left="360" w:hanging="260"/>
        <w:contextualSpacing/>
      </w:pPr>
      <w:r>
        <w:t xml:space="preserve">•  </w:t>
      </w:r>
      <w:r>
        <w:rPr>
          <w:b/>
        </w:rPr>
        <w:t xml:space="preserve">RTA &gt; 1:</w:t>
      </w:r>
      <w:r>
        <w:t xml:space="preserve"> Indica asociación positiva. En este caso, quienes comieron pollo tuvieron 7 veces más riesgo de enfermar que los que no lo comieron. El pollo es el vehículo probable de transmisión.</w:t>
      </w:r>
    </w:p>
    <w:p>
      <w:pPr>
        <w:pStyle w:val="ListParagraph"/>
        <w:spacing w:after="60"/>
        <w:ind w:left="360" w:hanging="260"/>
        <w:contextualSpacing/>
      </w:pPr>
      <w:r>
        <w:t xml:space="preserve">•  </w:t>
      </w:r>
      <w:r>
        <w:rPr>
          <w:b/>
        </w:rPr>
        <w:t xml:space="preserve">RTA &lt; 1:</w:t>
      </w:r>
      <w:r>
        <w:t xml:space="preserve"> Indica que el factor no está asociado o es "protector". En el ejemplo, la ensalada tiene un RTA de 0,64, por lo que se descarta como fuente.</w:t>
      </w:r>
    </w:p>
    <w:p>
      <w:pPr>
        <w:pStyle w:val="Heading3"/>
      </w:pPr>
      <w:r>
        <w:t xml:space="preserve">3.4 Errores Conceptuales Frecuentes</w:t>
      </w:r>
    </w:p>
    <w:p>
      <w:pPr>
        <w:pStyle w:val="ListParagraph"/>
        <w:spacing w:after="60"/>
        <w:ind w:left="360" w:hanging="260"/>
        <w:contextualSpacing/>
      </w:pPr>
      <w:r>
        <w:t xml:space="preserve">•  </w:t>
      </w:r>
      <w:r>
        <w:rPr>
          <w:b/>
        </w:rPr>
        <w:t xml:space="preserve">No usar porcentajes:</w:t>
      </w:r>
      <w:r>
        <w:t xml:space="preserve"> Dejar los resultados en decimales (ej. 0,4 en lugar de 40%) dificulta la lectura epidemiológica estándar.</w:t>
      </w:r>
    </w:p>
    <w:p>
      <w:pPr>
        <w:pStyle w:val="ListParagraph"/>
        <w:spacing w:after="60"/>
        <w:ind w:left="360" w:hanging="260"/>
        <w:contextualSpacing/>
      </w:pPr>
      <w:r>
        <w:t xml:space="preserve">•  </w:t>
      </w:r>
      <w:r>
        <w:rPr>
          <w:b/>
        </w:rPr>
        <w:t xml:space="preserve">Confundir denominadores:</w:t>
      </w:r>
      <w:r>
        <w:t xml:space="preserve"> En la TAS, usar la población total en lugar de solo los contactos susceptibles subestima la contagiosidad real del agente.</w:t>
      </w:r>
    </w:p>
    <w:p>
      <w:pPr>
        <w:pStyle w:val="ListParagraph"/>
        <w:spacing w:after="60"/>
        <w:ind w:left="360" w:hanging="260"/>
        <w:contextualSpacing/>
      </w:pPr>
      <w:r>
        <w:t xml:space="preserve">•  </w:t>
      </w:r>
      <w:r>
        <w:rPr>
          <w:b/>
        </w:rPr>
        <w:t xml:space="preserve">Ignorar la significancia:</w:t>
      </w:r>
      <w:r>
        <w:t xml:space="preserve"> Un RTA elevado solo es válido si la diferencia entre las tasas de ataque es estadísticamente significativa (p &lt; 0,05).</w:t>
      </w:r>
    </w:p>
    <w:p>
      <w:pPr>
        <w:pStyle w:val="Heading1"/>
      </w:pPr>
      <w:r>
        <w:t xml:space="preserve">TEMA 5 — Fases de la Investigación Clínica (0–IV)</w:t>
      </w:r>
    </w:p>
    <w:p>
      <w:pPr>
        <w:pStyle w:val="Heading2"/>
      </w:pPr>
      <w:r>
        <w:t xml:space="preserve">I. Marco Conceptual y Definición Normativa</w:t>
      </w:r>
    </w:p>
    <w:p>
      <w:r>
        <w:t xml:space="preserve">La investigación clínica se fundamenta en el ensayo clínico, definido bajo la Resolución 2378 de 2008 en Colombia como toda investigación efectuada en seres humanos destinada a descubrir o verificar efectos clínicos, farmacológicos o farmacodinámicos de un producto en investigación. Este proceso es esencial para identificar reacciones adversas y estudiar el perfil ADME (Absorción, Distribución, Metabolismo y Excreción) de un fármaco, garantizando así su seguridad y eficacia antes de la comercialización masiva.</w:t>
      </w:r>
    </w:p>
    <w:p>
      <w:r>
        <w:t xml:space="preserve">A diferencia de la investigación en animales, el ensayo clínico se centra estrictamente en seres humanos y se rige por pilares éticos de protección al participante y responsabilidad médica.</w:t>
      </w:r>
    </w:p>
    <w:p>
      <w:pPr>
        <w:pStyle w:val="Heading2"/>
      </w:pPr>
      <w:r>
        <w:t xml:space="preserve">II. Línea de Tiempo y Tasa de Éxito del Desarrollo Farmacéutico</w:t>
      </w:r>
    </w:p>
    <w:p>
      <w:r>
        <w:t xml:space="preserve">El desarrollo de una nueva molécula o fármaco es un proceso de alta complejidad y rigor científico que requiere, en promedio, entre 12 y 15 años desde la investigación básica hasta su aprobación final.</w:t>
      </w:r>
    </w:p>
    <w:p>
      <w:pPr>
        <w:pStyle w:val="ListParagraph"/>
        <w:spacing w:after="60"/>
        <w:ind w:left="360" w:hanging="260"/>
        <w:contextualSpacing/>
      </w:pPr>
      <w:r>
        <w:t xml:space="preserve">•  </w:t>
      </w:r>
      <w:r>
        <w:rPr>
          <w:b/>
        </w:rPr>
        <w:t xml:space="preserve">Tasa de éxito:</w:t>
      </w:r>
      <w:r>
        <w:t xml:space="preserve"> Se estima que solo entre el 10% y el 12% de los candidatos que inician la fase de investigación clínica logran superar todas las etapas y obtener el registro regulador.</w:t>
      </w:r>
    </w:p>
    <w:p>
      <w:pPr>
        <w:pStyle w:val="ListParagraph"/>
        <w:spacing w:after="60"/>
        <w:ind w:left="360" w:hanging="260"/>
        <w:contextualSpacing/>
      </w:pPr>
      <w:r>
        <w:t xml:space="preserve">•  </w:t>
      </w:r>
      <w:r>
        <w:rPr>
          <w:b/>
        </w:rPr>
        <w:t xml:space="preserve">Progresión:</w:t>
      </w:r>
      <w:r>
        <w:t xml:space="preserve"> El avance entre fases es selectivo y condicionado al cumplimiento estricto de objetivos de seguridad y eficacia. Por ejemplo, mientras que un 70% de los fármacos pasan de Fase I a II, solo un 25% logran completar la Fase III con éxito.</w:t>
      </w:r>
    </w:p>
    <w:p>
      <w:pPr>
        <w:pStyle w:val="Heading2"/>
      </w:pPr>
      <w:r>
        <w:t xml:space="preserve">III. Desarrollo Exhaustivo de las Fases (0 a IV)</w:t>
      </w:r>
    </w:p>
    <w:p>
      <w:pPr>
        <w:pStyle w:val="Heading3"/>
      </w:pPr>
      <w:r>
        <w:t xml:space="preserve">3.1 Fase 0: Investigación Preclínica (Microdosis)</w:t>
      </w:r>
    </w:p>
    <w:p>
      <w:pPr>
        <w:pStyle w:val="ListParagraph"/>
        <w:spacing w:after="60"/>
        <w:ind w:left="360" w:hanging="260"/>
        <w:contextualSpacing/>
      </w:pPr>
      <w:r>
        <w:t xml:space="preserve">•  </w:t>
      </w:r>
      <w:r>
        <w:rPr>
          <w:b/>
        </w:rPr>
        <w:t xml:space="preserve">Definición:</w:t>
      </w:r>
      <w:r>
        <w:t xml:space="preserve"> Es la etapa inicial de exploración en humanos que utiliza dosis sub-terapéuticas para evaluar el comportamiento farmacocinético básico de una molécula.</w:t>
      </w:r>
    </w:p>
    <w:p>
      <w:pPr>
        <w:pStyle w:val="ListParagraph"/>
        <w:spacing w:after="60"/>
        <w:ind w:left="360" w:hanging="260"/>
        <w:contextualSpacing/>
      </w:pPr>
      <w:r>
        <w:t xml:space="preserve">•  </w:t>
      </w:r>
      <w:r>
        <w:rPr>
          <w:b/>
        </w:rPr>
        <w:t xml:space="preserve">Población:</w:t>
      </w:r>
      <w:r>
        <w:t xml:space="preserve"> Grupos muy reducidos, generalmente menos de 15 personas.</w:t>
      </w:r>
    </w:p>
    <w:p>
      <w:pPr>
        <w:pStyle w:val="ListParagraph"/>
        <w:spacing w:after="60"/>
        <w:ind w:left="360" w:hanging="260"/>
        <w:contextualSpacing/>
      </w:pPr>
      <w:r>
        <w:t xml:space="preserve">•  </w:t>
      </w:r>
      <w:r>
        <w:rPr>
          <w:b/>
        </w:rPr>
        <w:t xml:space="preserve">Objetivos:</w:t>
      </w:r>
      <w:r>
        <w:t xml:space="preserve"> Describir el comportamiento del compuesto, su metabolismo y toxicidad in vitro e in vivo sin buscar un efecto terapéutico directo.</w:t>
      </w:r>
    </w:p>
    <w:p>
      <w:pPr>
        <w:pStyle w:val="ListParagraph"/>
        <w:spacing w:after="60"/>
        <w:ind w:left="360" w:hanging="260"/>
        <w:contextualSpacing/>
      </w:pPr>
      <w:r>
        <w:t xml:space="preserve">•  </w:t>
      </w:r>
      <w:r>
        <w:rPr>
          <w:b/>
        </w:rPr>
        <w:t xml:space="preserve">Mecanismo:</w:t>
      </w:r>
      <w:r>
        <w:t xml:space="preserve"> Se emplean microdosis para minimizar riesgos mientras se obtienen datos preliminares sobre la viabilidad de la molécula.</w:t>
      </w:r>
    </w:p>
    <w:p>
      <w:pPr>
        <w:pStyle w:val="Heading3"/>
      </w:pPr>
      <w:r>
        <w:t xml:space="preserve">3.2 Fase I: Seguridad y Tolerabilidad</w:t>
      </w:r>
    </w:p>
    <w:p>
      <w:pPr>
        <w:pStyle w:val="ListParagraph"/>
        <w:spacing w:after="60"/>
        <w:ind w:left="360" w:hanging="260"/>
        <w:contextualSpacing/>
      </w:pPr>
      <w:r>
        <w:t xml:space="preserve">•  </w:t>
      </w:r>
      <w:r>
        <w:rPr>
          <w:b/>
        </w:rPr>
        <w:t xml:space="preserve">Definición:</w:t>
      </w:r>
      <w:r>
        <w:t xml:space="preserve"> Primera administración del fármaco en seres humanos para determinar el rango de dosis seguras y el perfil de tolerabilidad.</w:t>
      </w:r>
    </w:p>
    <w:p>
      <w:pPr>
        <w:pStyle w:val="ListParagraph"/>
        <w:spacing w:after="60"/>
        <w:ind w:left="360" w:hanging="260"/>
        <w:contextualSpacing/>
      </w:pPr>
      <w:r>
        <w:t xml:space="preserve">•  </w:t>
      </w:r>
      <w:r>
        <w:rPr>
          <w:b/>
        </w:rPr>
        <w:t xml:space="preserve">Población:</w:t>
      </w:r>
      <w:r>
        <w:t xml:space="preserve"> 20 a 80 voluntarios sanos. En este contexto, el término "voluntario" suele estar asociado a una compensación económica debido a que los participantes asumen riesgos sin beneficio terapéutico personal.</w:t>
      </w:r>
    </w:p>
    <w:p>
      <w:pPr>
        <w:pStyle w:val="ListParagraph"/>
        <w:spacing w:after="60"/>
        <w:ind w:left="360" w:hanging="260"/>
        <w:contextualSpacing/>
      </w:pPr>
      <w:r>
        <w:t xml:space="preserve">•  </w:t>
      </w:r>
      <w:r>
        <w:rPr>
          <w:b/>
        </w:rPr>
        <w:t xml:space="preserve">Objetivos:</w:t>
      </w:r>
      <w:r>
        <w:t xml:space="preserve"> Evaluar la seguridad, tolerabilidad y parámetros farmacocinéticos (ADME). Se busca identificar la dosis máxima tolerada.</w:t>
      </w:r>
    </w:p>
    <w:p>
      <w:pPr>
        <w:pStyle w:val="ListParagraph"/>
        <w:spacing w:after="60"/>
        <w:ind w:left="360" w:hanging="260"/>
        <w:contextualSpacing/>
      </w:pPr>
      <w:r>
        <w:t xml:space="preserve">•  </w:t>
      </w:r>
      <w:r>
        <w:rPr>
          <w:b/>
        </w:rPr>
        <w:t xml:space="preserve">Tasa de éxito:</w:t>
      </w:r>
      <w:r>
        <w:t xml:space="preserve"> Aproximadamente el 70% de los fármacos progresan a la siguiente fase.</w:t>
      </w:r>
    </w:p>
    <w:p>
      <w:pPr>
        <w:pStyle w:val="ListParagraph"/>
        <w:spacing w:after="60"/>
        <w:ind w:left="360" w:hanging="260"/>
        <w:contextualSpacing/>
      </w:pPr>
      <w:r>
        <w:t xml:space="preserve">•  </w:t>
      </w:r>
      <w:r>
        <w:rPr>
          <w:b/>
        </w:rPr>
        <w:t xml:space="preserve">Error conceptual frecuente:</w:t>
      </w:r>
      <w:r>
        <w:t xml:space="preserve"> Creer que la Fase I busca curar pacientes. Su enfoque es exclusivamente seguridad, no eficacia terapéutica.</w:t>
      </w:r>
    </w:p>
    <w:p>
      <w:pPr>
        <w:pStyle w:val="Heading3"/>
      </w:pPr>
      <w:r>
        <w:t xml:space="preserve">3.3 Fase II: Eficacia Preliminar</w:t>
      </w:r>
    </w:p>
    <w:p>
      <w:pPr>
        <w:pStyle w:val="ListParagraph"/>
        <w:spacing w:after="60"/>
        <w:ind w:left="360" w:hanging="260"/>
        <w:contextualSpacing/>
      </w:pPr>
      <w:r>
        <w:t xml:space="preserve">•  </w:t>
      </w:r>
      <w:r>
        <w:rPr>
          <w:b/>
        </w:rPr>
        <w:t xml:space="preserve">Definición:</w:t>
      </w:r>
      <w:r>
        <w:t xml:space="preserve"> Estudio piloto en pacientes que padecen la enfermedad objetivo para evaluar la actividad biológica del fármaco.</w:t>
      </w:r>
    </w:p>
    <w:p>
      <w:pPr>
        <w:pStyle w:val="ListParagraph"/>
        <w:spacing w:after="60"/>
        <w:ind w:left="360" w:hanging="260"/>
        <w:contextualSpacing/>
      </w:pPr>
      <w:r>
        <w:t xml:space="preserve">•  </w:t>
      </w:r>
      <w:r>
        <w:rPr>
          <w:b/>
        </w:rPr>
        <w:t xml:space="preserve">Población:</w:t>
      </w:r>
      <w:r>
        <w:t xml:space="preserve"> 100 a 300 pacientes seleccionados bajo estrictos criterios de inclusión.</w:t>
      </w:r>
    </w:p>
    <w:p>
      <w:pPr>
        <w:pStyle w:val="ListParagraph"/>
        <w:spacing w:after="60"/>
        <w:ind w:left="360" w:hanging="260"/>
        <w:contextualSpacing/>
      </w:pPr>
      <w:r>
        <w:t xml:space="preserve">•  </w:t>
      </w:r>
      <w:r>
        <w:rPr>
          <w:b/>
        </w:rPr>
        <w:t xml:space="preserve">Objetivos:</w:t>
      </w:r>
      <w:r>
        <w:t xml:space="preserve"> Determinar la eficacia preliminar, establecer la dosis óptima para estudios posteriores e identificar reacciones adversas frecuentes.</w:t>
      </w:r>
    </w:p>
    <w:p>
      <w:pPr>
        <w:pStyle w:val="ListParagraph"/>
        <w:spacing w:after="60"/>
        <w:ind w:left="360" w:hanging="260"/>
        <w:contextualSpacing/>
      </w:pPr>
      <w:r>
        <w:t xml:space="preserve">•  </w:t>
      </w:r>
      <w:r>
        <w:rPr>
          <w:b/>
        </w:rPr>
        <w:t xml:space="preserve">Tasa de éxito:</w:t>
      </w:r>
      <w:r>
        <w:t xml:space="preserve"> Solo el 33% de los compuestos suelen ser considerados lo suficientemente prometedores para continuar.</w:t>
      </w:r>
    </w:p>
    <w:p>
      <w:pPr>
        <w:pStyle w:val="Heading3"/>
      </w:pPr>
      <w:r>
        <w:t xml:space="preserve">3.4 Fase III: Confirmación Multicéntrica (Gold Standard)</w:t>
      </w:r>
    </w:p>
    <w:p>
      <w:pPr>
        <w:pStyle w:val="ListParagraph"/>
        <w:spacing w:after="60"/>
        <w:ind w:left="360" w:hanging="260"/>
        <w:contextualSpacing/>
      </w:pPr>
      <w:r>
        <w:t xml:space="preserve">•  </w:t>
      </w:r>
      <w:r>
        <w:rPr>
          <w:b/>
        </w:rPr>
        <w:t xml:space="preserve">Definición:</w:t>
      </w:r>
      <w:r>
        <w:t xml:space="preserve"> Ensayo clínico aleatorizado (ECA), controlado y preferiblemente doble ciego, diseñado para confirmar la eficacia y seguridad definitiva en grandes poblaciones.</w:t>
      </w:r>
    </w:p>
    <w:p>
      <w:pPr>
        <w:pStyle w:val="ListParagraph"/>
        <w:spacing w:after="60"/>
        <w:ind w:left="360" w:hanging="260"/>
        <w:contextualSpacing/>
      </w:pPr>
      <w:r>
        <w:t xml:space="preserve">•  </w:t>
      </w:r>
      <w:r>
        <w:rPr>
          <w:b/>
        </w:rPr>
        <w:t xml:space="preserve">Población:</w:t>
      </w:r>
      <w:r>
        <w:t xml:space="preserve"> 1.000 a 10.000 participantes.</w:t>
      </w:r>
    </w:p>
    <w:p>
      <w:pPr>
        <w:pStyle w:val="ListParagraph"/>
        <w:spacing w:after="60"/>
        <w:ind w:left="360" w:hanging="260"/>
        <w:contextualSpacing/>
      </w:pPr>
      <w:r>
        <w:t xml:space="preserve">•  </w:t>
      </w:r>
      <w:r>
        <w:rPr>
          <w:b/>
        </w:rPr>
        <w:t xml:space="preserve">Objetivos:</w:t>
      </w:r>
      <w:r>
        <w:t xml:space="preserve"> Confirmar la eficacia frente a un control (placebo o tratamiento estándar) y establecer la relación riesgo-beneficio necesaria para la aprobación regulatoria.</w:t>
      </w:r>
    </w:p>
    <w:p>
      <w:pPr>
        <w:pStyle w:val="ListParagraph"/>
        <w:spacing w:after="60"/>
        <w:ind w:left="360" w:hanging="260"/>
        <w:contextualSpacing/>
      </w:pPr>
      <w:r>
        <w:t xml:space="preserve">•  </w:t>
      </w:r>
      <w:r>
        <w:rPr>
          <w:b/>
        </w:rPr>
        <w:t xml:space="preserve">Mecanismo:</w:t>
      </w:r>
      <w:r>
        <w:t xml:space="preserve"> Suelen ser estudios multicéntricos para aumentar la velocidad de reclutamiento y la capacidad de generalizar los resultados a diferentes poblaciones.</w:t>
      </w:r>
    </w:p>
    <w:p>
      <w:pPr>
        <w:pStyle w:val="ListParagraph"/>
        <w:spacing w:after="60"/>
        <w:ind w:left="360" w:hanging="260"/>
        <w:contextualSpacing/>
      </w:pPr>
      <w:r>
        <w:t xml:space="preserve">•  </w:t>
      </w:r>
      <w:r>
        <w:rPr>
          <w:b/>
        </w:rPr>
        <w:t xml:space="preserve">Tasa de éxito:</w:t>
      </w:r>
      <w:r>
        <w:t xml:space="preserve"> Cerca del 25% logran la aprobación final del ente regulador (como INVIMA o FDA).</w:t>
      </w:r>
    </w:p>
    <w:p>
      <w:pPr>
        <w:pStyle w:val="ListParagraph"/>
        <w:spacing w:after="60"/>
        <w:ind w:left="360" w:hanging="260"/>
        <w:contextualSpacing/>
      </w:pPr>
      <w:r>
        <w:t xml:space="preserve">•  </w:t>
      </w:r>
      <w:r>
        <w:rPr>
          <w:b/>
        </w:rPr>
        <w:t xml:space="preserve">Ejemplo práctico:</w:t>
      </w:r>
      <w:r>
        <w:t xml:space="preserve"> Las vacunas para el COVID-19 realizaron fases III masivas y aceleradas bajo un contexto de urgencia sanitaria, donde la población asumió el riesgo frente a la inminencia de muerte por la pandemia.</w:t>
      </w:r>
    </w:p>
    <w:p>
      <w:pPr>
        <w:pStyle w:val="Heading3"/>
      </w:pPr>
      <w:r>
        <w:t xml:space="preserve">3.5 Fase IV: Poscomercialización y Farmacovigilancia</w:t>
      </w:r>
    </w:p>
    <w:p>
      <w:pPr>
        <w:pStyle w:val="ListParagraph"/>
        <w:spacing w:after="60"/>
        <w:ind w:left="360" w:hanging="260"/>
        <w:contextualSpacing/>
      </w:pPr>
      <w:r>
        <w:t xml:space="preserve">•  </w:t>
      </w:r>
      <w:r>
        <w:rPr>
          <w:b/>
        </w:rPr>
        <w:t xml:space="preserve">Definición:</w:t>
      </w:r>
      <w:r>
        <w:t xml:space="preserve"> Vigilancia continua del fármaco una vez ha sido lanzado al mercado y es utilizado por la población general.</w:t>
      </w:r>
    </w:p>
    <w:p>
      <w:pPr>
        <w:pStyle w:val="ListParagraph"/>
        <w:spacing w:after="60"/>
        <w:ind w:left="360" w:hanging="260"/>
        <w:contextualSpacing/>
      </w:pPr>
      <w:r>
        <w:t xml:space="preserve">•  </w:t>
      </w:r>
      <w:r>
        <w:rPr>
          <w:b/>
        </w:rPr>
        <w:t xml:space="preserve">Población:</w:t>
      </w:r>
      <w:r>
        <w:t xml:space="preserve"> Miles de pacientes en condiciones de práctica clínica real.</w:t>
      </w:r>
    </w:p>
    <w:p>
      <w:pPr>
        <w:pStyle w:val="ListParagraph"/>
        <w:spacing w:after="60"/>
        <w:ind w:left="360" w:hanging="260"/>
        <w:contextualSpacing/>
      </w:pPr>
      <w:r>
        <w:t xml:space="preserve">•  </w:t>
      </w:r>
      <w:r>
        <w:rPr>
          <w:b/>
        </w:rPr>
        <w:t xml:space="preserve">Objetivos:</w:t>
      </w:r>
      <w:r>
        <w:t xml:space="preserve"> Detectar efectos adversos raros (que no aparecieron en muestras de 10.000 personas), evaluar nuevas indicaciones y monitorear el uso en poblaciones especiales como gestantes, niños y ancianos.</w:t>
      </w:r>
    </w:p>
    <w:p>
      <w:pPr>
        <w:pStyle w:val="ListParagraph"/>
        <w:spacing w:after="60"/>
        <w:ind w:left="360" w:hanging="260"/>
        <w:contextualSpacing/>
      </w:pPr>
      <w:r>
        <w:t xml:space="preserve">•  </w:t>
      </w:r>
      <w:r>
        <w:rPr>
          <w:b/>
        </w:rPr>
        <w:t xml:space="preserve">Mecanismo:</w:t>
      </w:r>
      <w:r>
        <w:t xml:space="preserve"> Es una fase continua de vigilancia epidemiológica activa.</w:t>
      </w:r>
    </w:p>
    <w:p>
      <w:pPr>
        <w:pStyle w:val="ListParagraph"/>
        <w:spacing w:after="60"/>
        <w:ind w:left="360" w:hanging="260"/>
        <w:contextualSpacing/>
      </w:pPr>
      <w:r>
        <w:t xml:space="preserve">•  </w:t>
      </w:r>
      <w:r>
        <w:rPr>
          <w:b/>
        </w:rPr>
        <w:t xml:space="preserve">Aplicación clínica (Alertas INVIMA):</w:t>
      </w:r>
      <w:r>
        <w:t xml:space="preserve"> El reporte de eventos adversos en esta fase permite a entidades como el INVIMA emitir alertas sanitarias, retirar lotes específicos o prohibir la comercialización de productos que demuestren riesgos imprevistos (ejemplos mencionados: Power Max, Mitachiron o alertas sobre lotes falsificados).</w:t>
      </w:r>
    </w:p>
    <w:p>
      <w:pPr>
        <w:pStyle w:val="Heading2"/>
      </w:pPr>
      <w:r>
        <w:t xml:space="preserve">IV. Aplicaciones Epidemiológicas y Relevancia Clínica</w:t>
      </w:r>
    </w:p>
    <w:p>
      <w:r>
        <w:t xml:space="preserve">La comprensión de estas fases permite a los profesionales de la salud:</w:t>
      </w:r>
    </w:p>
    <w:p>
      <w:pPr>
        <w:pStyle w:val="ListParagraph"/>
        <w:spacing w:after="60"/>
        <w:ind w:left="360" w:hanging="260"/>
        <w:contextualSpacing/>
      </w:pPr>
      <w:r>
        <w:t xml:space="preserve">•  </w:t>
      </w:r>
      <w:r>
        <w:rPr>
          <w:b/>
        </w:rPr>
        <w:t xml:space="preserve">Evaluar la calidad de la evidencia:</w:t>
      </w:r>
      <w:r>
        <w:t xml:space="preserve"> Reconocer que la Fase III es el "estándar de oro" para decisiones terapéuticas.</w:t>
      </w:r>
    </w:p>
    <w:p>
      <w:pPr>
        <w:pStyle w:val="ListParagraph"/>
        <w:spacing w:after="60"/>
        <w:ind w:left="360" w:hanging="260"/>
        <w:contextualSpacing/>
      </w:pPr>
      <w:r>
        <w:t xml:space="preserve">•  </w:t>
      </w:r>
      <w:r>
        <w:rPr>
          <w:b/>
        </w:rPr>
        <w:t xml:space="preserve">Participar en la vigilancia:</w:t>
      </w:r>
      <w:r>
        <w:t xml:space="preserve"> El médico tiene la responsabilidad ética de reportar eventos adversos en Fase IV para nutrir la base de datos de seguridad nacional.</w:t>
      </w:r>
    </w:p>
    <w:p>
      <w:pPr>
        <w:pStyle w:val="ListParagraph"/>
        <w:spacing w:after="60"/>
        <w:ind w:left="360" w:hanging="260"/>
        <w:contextualSpacing/>
      </w:pPr>
      <w:r>
        <w:t xml:space="preserve">•  </w:t>
      </w:r>
      <w:r>
        <w:rPr>
          <w:b/>
        </w:rPr>
        <w:t xml:space="preserve">Análisis de Seguridad:</w:t>
      </w:r>
      <w:r>
        <w:t xml:space="preserve"> Diferenciar entre la eficacia (lograda en condiciones ideales de estudio) y la efectividad (lograda en la práctica real).</w:t>
      </w:r>
    </w:p>
    <w:p>
      <w:r>
        <w:rPr>
          <w:b/>
        </w:rPr>
        <w:t xml:space="preserve">Nota sobre ética:</w:t>
      </w:r>
      <w:r>
        <w:t xml:space="preserve"> Ninguna fase puede iniciarse sin la aprobación de un Comité de Ética de Investigación, el cual garantiza que los beneficios superen los riesgos y que el consentimiento informado sea transparente y voluntario.</w:t>
      </w:r>
    </w:p>
    <w:p>
      <w:pPr>
        <w:pStyle w:val="Heading1"/>
      </w:pPr>
      <w:r>
        <w:t xml:space="preserve">TEMA 6 — Análisis de Supervivencia y Pronóstico 🧮</w:t>
      </w:r>
    </w:p>
    <w:p>
      <w:pPr>
        <w:pStyle w:val="Heading2"/>
      </w:pPr>
      <w:r>
        <w:t xml:space="preserve">I. Conceptos Generales de Pronóstico</w:t>
      </w:r>
    </w:p>
    <w:p>
      <w:pPr>
        <w:pStyle w:val="Heading3"/>
      </w:pPr>
      <w:r>
        <w:t xml:space="preserve">1.1 Definición Técnica de Pronóstico</w:t>
      </w:r>
    </w:p>
    <w:p>
      <w:r>
        <w:t xml:space="preserve">El pronóstico se define como la cuantificación de la probabilidad de que ocurran eventos futuros —tales como la curación, la aparición de complicaciones o el fallecimiento— a partir del estado de salud actual de un paciente. Mientras que el diagnóstico identifica la presencia actual de una enfermedad, el pronóstico responde a la pregunta fundamental: "¿qué le ocurrirá a este paciente?".</w:t>
      </w:r>
    </w:p>
    <w:p>
      <w:pPr>
        <w:pStyle w:val="Heading3"/>
      </w:pPr>
      <w:r>
        <w:t xml:space="preserve">1.2 Puntos Críticos de Inicio del Seguimiento</w:t>
      </w:r>
    </w:p>
    <w:p>
      <w:r>
        <w:t xml:space="preserve">Para realizar un análisis de supervivencia válido, es indispensable establecer con precisión el punto de inicio del cronómetro de seguimiento (tiempo cero). Las fuentes identifican tres momentos clave:</w:t>
      </w:r>
    </w:p>
    <w:p>
      <w:pPr>
        <w:pStyle w:val="ListParagraph"/>
        <w:spacing w:after="60"/>
        <w:ind w:left="360" w:hanging="260"/>
        <w:contextualSpacing/>
      </w:pPr>
      <w:r>
        <w:t xml:space="preserve">•  </w:t>
      </w:r>
      <w:r>
        <w:rPr>
          <w:b/>
        </w:rPr>
        <w:t xml:space="preserve">Inicio de la enfermedad:</w:t>
      </w:r>
      <w:r>
        <w:t xml:space="preserve"> Representa el punto ideal desde una perspectiva biológica, pero es extremadamente difícil de establecer con exactitud debido a la fase asintomática.</w:t>
      </w:r>
    </w:p>
    <w:p>
      <w:pPr>
        <w:pStyle w:val="ListParagraph"/>
        <w:spacing w:after="60"/>
        <w:ind w:left="360" w:hanging="260"/>
        <w:contextualSpacing/>
      </w:pPr>
      <w:r>
        <w:t xml:space="preserve">•  </w:t>
      </w:r>
      <w:r>
        <w:rPr>
          <w:b/>
        </w:rPr>
        <w:t xml:space="preserve">Diagnóstico de la enfermedad:</w:t>
      </w:r>
      <w:r>
        <w:t xml:space="preserve"> Es el punto de inicio más utilizado en la práctica clínica y la investigación, especialmente en áreas como la oncología.</w:t>
      </w:r>
    </w:p>
    <w:p>
      <w:pPr>
        <w:pStyle w:val="ListParagraph"/>
        <w:spacing w:after="60"/>
        <w:ind w:left="360" w:hanging="260"/>
        <w:contextualSpacing/>
      </w:pPr>
      <w:r>
        <w:t xml:space="preserve">•  </w:t>
      </w:r>
      <w:r>
        <w:rPr>
          <w:b/>
        </w:rPr>
        <w:t xml:space="preserve">Inicio del tratamiento:</w:t>
      </w:r>
      <w:r>
        <w:t xml:space="preserve"> Se utiliza cuando el interés del estudio radica en evaluar la efectividad de una intervención específica.</w:t>
      </w:r>
    </w:p>
    <w:p>
      <w:pPr>
        <w:pStyle w:val="Heading2"/>
      </w:pPr>
      <w:r>
        <w:t xml:space="preserve">II. Métricas de Letalidad y Supervivencia</w:t>
      </w:r>
    </w:p>
    <w:p>
      <w:pPr>
        <w:pStyle w:val="Heading3"/>
      </w:pPr>
      <w:r>
        <w:t xml:space="preserve">2.1 Tasa de Letalidad 🧮</w:t>
      </w:r>
    </w:p>
    <w:p>
      <w:pPr>
        <w:pStyle w:val="ListParagraph"/>
        <w:spacing w:after="60"/>
        <w:ind w:left="360" w:hanging="260"/>
        <w:contextualSpacing/>
      </w:pPr>
      <w:r>
        <w:t xml:space="preserve">•  </w:t>
      </w:r>
      <w:r>
        <w:rPr>
          <w:b/>
        </w:rPr>
        <w:t xml:space="preserve">Definición:</w:t>
      </w:r>
      <w:r>
        <w:t xml:space="preserve"> Es la proporción de personas con una enfermedad específica que fallecen a causa de ella en un periodo determinado.</w:t>
      </w:r>
    </w:p>
    <w:p>
      <w:pPr>
        <w:pStyle w:val="ListParagraph"/>
        <w:spacing w:after="60"/>
        <w:ind w:left="360" w:hanging="260"/>
        <w:contextualSpacing/>
      </w:pPr>
      <w:r>
        <w:t xml:space="preserve">•  </w:t>
      </w:r>
      <w:r>
        <w:rPr>
          <w:b/>
        </w:rPr>
        <w:t xml:space="preserve">Diferencia Crítica con Mortalidad:</w:t>
      </w:r>
      <w:r>
        <w:t xml:space="preserve"> La letalidad utiliza como denominador únicamente a los casos confirmados de la enfermedad, mientras que la mortalidad utiliza a la población total (sana y enferma).</w:t>
      </w:r>
    </w:p>
    <w:p>
      <w:pPr>
        <w:pStyle w:val="ListParagraph"/>
        <w:spacing w:after="60"/>
        <w:ind w:left="360" w:hanging="260"/>
        <w:contextualSpacing/>
      </w:pPr>
      <w:r>
        <w:t xml:space="preserve">•  </w:t>
      </w:r>
      <w:r>
        <w:rPr>
          <w:b/>
        </w:rPr>
        <w:t xml:space="preserve">Aplicabilidad:</w:t>
      </w:r>
      <w:r>
        <w:t xml:space="preserve"> Se utiliza fundamentalmente en enfermedades de curso agudo y corto (ej. infecciones virales, intoxicaciones). No es una medida adecuada para enfermedades crónicas, donde el fallecimiento suele deberse a múltiples causas concurrentes.</w:t>
      </w:r>
    </w:p>
    <w:p>
      <w:r>
        <w:rPr>
          <w:b/>
        </w:rPr>
        <w:t xml:space="preserve">Fórmula de la Tasa de Letalidad:</w:t>
      </w:r>
    </w:p>
    <w:p>
      <w:pPr>
        <w:jc w:val="center"/>
        <w:spacing w:before="120" w:after="120"/>
      </w:pPr>
      <m:oMathPara>
        <m:oMath>
          <m:r>
            <m:t xml:space="preserve">Tasa de Letalidad = </m:t>
          </m:r>
          <m:d>
            <m:dPr>
              <m:begChr m:val="("/>
              <m:endChr m:val=")"/>
            </m:dPr>
            <m:e>
              <m:r>
                <m:t xml:space="preserve"> </m:t>
              </m:r>
              <m:f>
                <m:num>
                  <m:r>
                    <m:rPr>
                      <m:nor/>
                    </m:rPr>
                    <m:t xml:space="preserve">Número de muertes por la enfermedad</m:t>
                  </m:r>
                </m:num>
                <m:den>
                  <m:r>
                    <m:rPr>
                      <m:nor/>
                    </m:rPr>
                    <m:t xml:space="preserve">Número de casos confirmados</m:t>
                  </m:r>
                </m:den>
              </m:f>
              <m:r>
                <m:t xml:space="preserve"> </m:t>
              </m:r>
            </m:e>
          </m:d>
          <m:r>
            <m:t xml:space="preserve"> × 100</m:t>
          </m:r>
        </m:oMath>
      </m:oMathPara>
    </w:p>
    <w:p>
      <w:pPr>
        <w:pStyle w:val="ListParagraph"/>
        <w:spacing w:after="60"/>
        <w:ind w:left="360" w:hanging="260"/>
        <w:contextualSpacing/>
      </w:pPr>
      <w:r>
        <w:t xml:space="preserve">•  </w:t>
      </w:r>
      <w:r>
        <w:rPr>
          <w:b/>
        </w:rPr>
        <w:t xml:space="preserve">Unidades:</w:t>
      </w:r>
      <w:r>
        <w:t xml:space="preserve"> Porcentaje (%).</w:t>
      </w:r>
    </w:p>
    <w:p>
      <w:r>
        <w:rPr>
          <w:b/>
        </w:rPr>
        <w:t xml:space="preserve">Ejemplo Numérico Resuelto:</w:t>
      </w:r>
      <w:r>
        <w:t xml:space="preserve"> En el primer semestre de 2020 en Colombia, se registraron casos de COVID-19 con una letalidad del 3,4%. Si hubo 1.000 casos confirmados, el cálculo sería: </w:t>
      </w:r>
      <m:oMath>
        <m:r>
          <m:t xml:space="preserve">(34 / 1.000) × 100 = 3,4%</m:t>
        </m:r>
      </m:oMath>
      <w:r>
        <w:t xml:space="preserve">.</w:t>
      </w:r>
    </w:p>
    <w:p>
      <w:r>
        <w:rPr>
          <w:b/>
        </w:rPr>
        <w:t xml:space="preserve">Ejemplos Clínicos de Letalidad (Fuentes):</w:t>
      </w:r>
    </w:p>
    <w:p>
      <w:pPr>
        <w:pStyle w:val="ListParagraph"/>
        <w:spacing w:after="60"/>
        <w:ind w:left="360" w:hanging="260"/>
        <w:contextualSpacing/>
      </w:pPr>
      <w:r>
        <w:t xml:space="preserve">•  </w:t>
      </w:r>
      <w:r>
        <w:rPr>
          <w:b/>
        </w:rPr>
        <w:t xml:space="preserve">Ébola (África Occidental, 2014):</w:t>
      </w:r>
      <w:r>
        <w:t xml:space="preserve"> 40–70%.</w:t>
      </w:r>
    </w:p>
    <w:p>
      <w:pPr>
        <w:pStyle w:val="ListParagraph"/>
        <w:spacing w:after="60"/>
        <w:ind w:left="360" w:hanging="260"/>
        <w:contextualSpacing/>
      </w:pPr>
      <w:r>
        <w:t xml:space="preserve">•  </w:t>
      </w:r>
      <w:r>
        <w:rPr>
          <w:b/>
        </w:rPr>
        <w:t xml:space="preserve">Influenza estacional:</w:t>
      </w:r>
      <w:r>
        <w:t xml:space="preserve"> &lt; 0,1% en poblaciones vacunadas.</w:t>
      </w:r>
    </w:p>
    <w:p>
      <w:pPr>
        <w:pStyle w:val="ListParagraph"/>
        <w:spacing w:after="60"/>
        <w:ind w:left="360" w:hanging="260"/>
        <w:contextualSpacing/>
      </w:pPr>
      <w:r>
        <w:t xml:space="preserve">•  </w:t>
      </w:r>
      <w:r>
        <w:rPr>
          <w:b/>
        </w:rPr>
        <w:t xml:space="preserve">Cólera:</w:t>
      </w:r>
      <w:r>
        <w:t xml:space="preserve"> 25–50% sin tratamiento; &lt; 1% con rehidratación adecuada.</w:t>
      </w:r>
    </w:p>
    <w:p>
      <w:pPr>
        <w:pStyle w:val="Heading3"/>
      </w:pPr>
      <w:r>
        <w:t xml:space="preserve">2.2 Supervivencia a 5 Años</w:t>
      </w:r>
    </w:p>
    <w:p>
      <w:r>
        <w:t xml:space="preserve">Es la métrica estándar en oncología y representa el porcentaje de pacientes que siguen vivos cinco años después de haber recibido el diagnóstico confirmado.</w:t>
      </w:r>
    </w:p>
    <w:p>
      <w:pPr>
        <w:pStyle w:val="Heading2"/>
      </w:pPr>
      <w:r>
        <w:t xml:space="preserve">III. Método Actuarial: Tabla de Vida 🧮</w:t>
      </w:r>
    </w:p>
    <w:p>
      <w:pPr>
        <w:pStyle w:val="Heading3"/>
      </w:pPr>
      <w:r>
        <w:t xml:space="preserve">3.1 Definición y Utilidad</w:t>
      </w:r>
    </w:p>
    <w:p>
      <w:r>
        <w:t xml:space="preserve">La Tabla de Vida Actuarial permite calcular la probabilidad acumulada de supervivencia sin necesidad de esperar a que todos los pacientes completen los 5 años de seguimiento. Es ideal para analizar cohortes históricas donde los pacientes ingresan en diferentes momentos.</w:t>
      </w:r>
    </w:p>
    <w:p>
      <w:pPr>
        <w:pStyle w:val="Heading3"/>
      </w:pPr>
      <w:r>
        <w:t xml:space="preserve">3.2 Variables de la Tabla de Vida</w:t>
      </w:r>
    </w:p>
    <w:p>
      <w:pPr>
        <w:pStyle w:val="ListParagraph"/>
        <w:spacing w:after="60"/>
        <w:ind w:left="360" w:hanging="260"/>
        <w:contextualSpacing/>
      </w:pPr>
      <w:r>
        <w:t xml:space="preserve">•  </w:t>
      </w:r>
      <m:oMath>
        <m:r>
          <m:t xml:space="preserve">x</m:t>
        </m:r>
      </m:oMath>
      <w:r>
        <w:t xml:space="preserve">: El periodo o intervalo de tiempo (año 1, 2, etc.).</w:t>
      </w:r>
    </w:p>
    <w:p>
      <w:pPr>
        <w:pStyle w:val="ListParagraph"/>
        <w:spacing w:after="60"/>
        <w:ind w:left="360" w:hanging="260"/>
        <w:contextualSpacing/>
      </w:pPr>
      <w:r>
        <w:t xml:space="preserve">•  </w:t>
      </w:r>
      <m:oMath>
        <m:sSub>
          <m:e>
            <m:r>
              <m:t xml:space="preserve">l</m:t>
            </m:r>
          </m:e>
          <m:sub>
            <m:r>
              <m:t xml:space="preserve">x</m:t>
            </m:r>
          </m:sub>
        </m:sSub>
      </m:oMath>
      <w:r>
        <w:t xml:space="preserve">: Número de pacientes vivos al inicio del periodo.</w:t>
      </w:r>
    </w:p>
    <w:p>
      <w:pPr>
        <w:pStyle w:val="ListParagraph"/>
        <w:spacing w:after="60"/>
        <w:ind w:left="360" w:hanging="260"/>
        <w:contextualSpacing/>
      </w:pPr>
      <w:r>
        <w:t xml:space="preserve">•  </w:t>
      </w:r>
      <m:oMath>
        <m:sSub>
          <m:e>
            <m:r>
              <m:t xml:space="preserve">d</m:t>
            </m:r>
          </m:e>
          <m:sub>
            <m:r>
              <m:t xml:space="preserve">x</m:t>
            </m:r>
          </m:sub>
        </m:sSub>
      </m:oMath>
      <w:r>
        <w:t xml:space="preserve">: Número de muertes durante el periodo.</w:t>
      </w:r>
    </w:p>
    <w:p>
      <w:pPr>
        <w:pStyle w:val="ListParagraph"/>
        <w:spacing w:after="60"/>
        <w:ind w:left="360" w:hanging="260"/>
        <w:contextualSpacing/>
      </w:pPr>
      <w:r>
        <w:t xml:space="preserve">•  </w:t>
      </w:r>
      <m:oMath>
        <m:sSub>
          <m:e>
            <m:r>
              <m:t xml:space="preserve">u</m:t>
            </m:r>
          </m:e>
          <m:sub>
            <m:r>
              <m:t xml:space="preserve">x</m:t>
            </m:r>
          </m:sub>
        </m:sSub>
      </m:oMath>
      <w:r>
        <w:t xml:space="preserve">: Pérdidas de seguimiento (pacientes que desaparecen del estudio).</w:t>
      </w:r>
    </w:p>
    <w:p>
      <w:pPr>
        <w:pStyle w:val="ListParagraph"/>
        <w:spacing w:after="60"/>
        <w:ind w:left="360" w:hanging="260"/>
        <w:contextualSpacing/>
      </w:pPr>
      <w:r>
        <w:t xml:space="preserve">•  </w:t>
      </w:r>
      <m:oMath>
        <m:sSub>
          <m:e>
            <m:r>
              <m:t xml:space="preserve">w</m:t>
            </m:r>
          </m:e>
          <m:sub>
            <m:r>
              <m:t xml:space="preserve">x</m:t>
            </m:r>
          </m:sub>
        </m:sSub>
      </m:oMath>
      <w:r>
        <w:t xml:space="preserve">: Pacientes que llegan vivos al final del intervalo observado.</w:t>
      </w:r>
    </w:p>
    <w:p>
      <w:pPr>
        <w:pStyle w:val="ListParagraph"/>
        <w:spacing w:after="60"/>
        <w:ind w:left="360" w:hanging="260"/>
        <w:contextualSpacing/>
      </w:pPr>
      <w:r>
        <w:t xml:space="preserve">•  </w:t>
      </w:r>
      <m:oMath>
        <m:r>
          <m:t xml:space="preserve">l</m:t>
        </m:r>
        <m:sSub>
          <m:e>
            <m:r>
              <m:t xml:space="preserve">'</m:t>
            </m:r>
          </m:e>
          <m:sub>
            <m:r>
              <m:t xml:space="preserve">x</m:t>
            </m:r>
          </m:sub>
        </m:sSub>
      </m:oMath>
      <w:r>
        <w:t xml:space="preserve"> (Número efectivo en riesgo): Estimación de pacientes realmente expuestos al riesgo. Se asume que las pérdidas y los que terminan el periodo lo hicieron, en promedio, a la mitad del intervalo.</w:t>
      </w:r>
    </w:p>
    <w:p>
      <w:pPr>
        <w:pStyle w:val="ListParagraph"/>
        <w:spacing w:after="60"/>
        <w:ind w:left="360" w:hanging="260"/>
        <w:contextualSpacing/>
      </w:pPr>
      <w:r>
        <w:t xml:space="preserve">•  </w:t>
      </w:r>
      <m:oMath>
        <m:sSub>
          <m:e>
            <m:r>
              <m:t xml:space="preserve">q</m:t>
            </m:r>
          </m:e>
          <m:sub>
            <m:r>
              <m:t xml:space="preserve">x</m:t>
            </m:r>
          </m:sub>
        </m:sSub>
      </m:oMath>
      <w:r>
        <w:t xml:space="preserve">: Probabilidad de morir en el periodo.</w:t>
      </w:r>
    </w:p>
    <w:p>
      <w:pPr>
        <w:pStyle w:val="ListParagraph"/>
        <w:spacing w:after="60"/>
        <w:ind w:left="360" w:hanging="260"/>
        <w:contextualSpacing/>
      </w:pPr>
      <w:r>
        <w:t xml:space="preserve">•  </w:t>
      </w:r>
      <m:oMath>
        <m:sSub>
          <m:e>
            <m:r>
              <m:t xml:space="preserve">p</m:t>
            </m:r>
          </m:e>
          <m:sub>
            <m:r>
              <m:t xml:space="preserve">x</m:t>
            </m:r>
          </m:sub>
        </m:sSub>
      </m:oMath>
      <w:r>
        <w:t xml:space="preserve">: Probabilidad de sobrevivir el periodo (</w:t>
      </w:r>
      <m:oMath>
        <m:r>
          <m:t xml:space="preserve">1 - </m:t>
        </m:r>
        <m:sSub>
          <m:e>
            <m:r>
              <m:t xml:space="preserve">q</m:t>
            </m:r>
          </m:e>
          <m:sub>
            <m:r>
              <m:t xml:space="preserve">x</m:t>
            </m:r>
          </m:sub>
        </m:sSub>
      </m:oMath>
      <w:r>
        <w:t xml:space="preserve">).</w:t>
      </w:r>
    </w:p>
    <w:p>
      <w:pPr>
        <w:pStyle w:val="ListParagraph"/>
        <w:spacing w:after="60"/>
        <w:ind w:left="360" w:hanging="260"/>
        <w:contextualSpacing/>
      </w:pPr>
      <w:r>
        <w:t xml:space="preserve">•  </w:t>
      </w:r>
      <m:oMath>
        <m:sSub>
          <m:e>
            <m:r>
              <m:t xml:space="preserve">S</m:t>
            </m:r>
          </m:e>
          <m:sub>
            <m:r>
              <m:t xml:space="preserve">x</m:t>
            </m:r>
          </m:sub>
        </m:sSub>
      </m:oMath>
      <w:r>
        <w:t xml:space="preserve">: Supervivencia acumulada desde el inicio hasta el final del periodo.</w:t>
      </w:r>
    </w:p>
    <w:p>
      <w:pPr>
        <w:pStyle w:val="Heading3"/>
      </w:pPr>
      <w:r>
        <w:t xml:space="preserve">3.3 Fórmulas y Paso a Paso 🧮</w:t>
      </w:r>
    </w:p>
    <w:p>
      <w:pPr>
        <w:pStyle w:val="ListParagraph"/>
        <w:spacing w:after="60"/>
        <w:ind w:left="360" w:hanging="260"/>
        <w:contextualSpacing/>
      </w:pPr>
      <w:r>
        <w:t xml:space="preserve">•  </w:t>
      </w:r>
      <w:r>
        <w:rPr>
          <w:b/>
        </w:rPr>
        <w:t xml:space="preserve">Calcular número efectivo (</w:t>
      </w:r>
      <m:oMath>
        <m:r>
          <m:t xml:space="preserve">l</m:t>
        </m:r>
        <m:sSub>
          <m:e>
            <m:r>
              <m:t xml:space="preserve">'</m:t>
            </m:r>
          </m:e>
          <m:sub>
            <m:r>
              <m:t xml:space="preserve">x</m:t>
            </m:r>
          </m:sub>
        </m:sSub>
      </m:oMath>
      <w:r>
        <w:rPr>
          <w:b/>
        </w:rPr>
        <w:t xml:space="preserve">):</w:t>
      </w:r>
      <w:r>
        <w:t xml:space="preserve"> </w:t>
      </w:r>
      <m:oMath>
        <m:r>
          <m:t xml:space="preserve">l</m:t>
        </m:r>
        <m:sSub>
          <m:e>
            <m:r>
              <m:t xml:space="preserve">'</m:t>
            </m:r>
          </m:e>
          <m:sub>
            <m:r>
              <m:t xml:space="preserve">x</m:t>
            </m:r>
          </m:sub>
        </m:sSub>
        <m:r>
          <m:t xml:space="preserve"> = </m:t>
        </m:r>
        <m:sSub>
          <m:e>
            <m:r>
              <m:t xml:space="preserve">l</m:t>
            </m:r>
          </m:e>
          <m:sub>
            <m:r>
              <m:t xml:space="preserve">x</m:t>
            </m:r>
          </m:sub>
        </m:sSub>
        <m:r>
          <m:t xml:space="preserve"> - (</m:t>
        </m:r>
        <m:sSub>
          <m:e>
            <m:r>
              <m:t xml:space="preserve">u</m:t>
            </m:r>
          </m:e>
          <m:sub>
            <m:r>
              <m:t xml:space="preserve">x</m:t>
            </m:r>
          </m:sub>
        </m:sSub>
        <m:r>
          <m:t xml:space="preserve"> / 2) - (</m:t>
        </m:r>
        <m:sSub>
          <m:e>
            <m:r>
              <m:t xml:space="preserve">w</m:t>
            </m:r>
          </m:e>
          <m:sub>
            <m:r>
              <m:t xml:space="preserve">x</m:t>
            </m:r>
          </m:sub>
        </m:sSub>
        <m:r>
          <m:t xml:space="preserve"> / 2)</m:t>
        </m:r>
      </m:oMath>
      <w:r>
        <w:t xml:space="preserve">.</w:t>
      </w:r>
    </w:p>
    <w:p>
      <w:pPr>
        <w:pStyle w:val="ListParagraph"/>
        <w:spacing w:after="60"/>
        <w:ind w:left="360" w:hanging="260"/>
        <w:contextualSpacing/>
      </w:pPr>
      <w:r>
        <w:t xml:space="preserve">•  </w:t>
      </w:r>
      <w:r>
        <w:rPr>
          <w:b/>
        </w:rPr>
        <w:t xml:space="preserve">Calcular probabilidad de muerte (</w:t>
      </w:r>
      <m:oMath>
        <m:sSub>
          <m:e>
            <m:r>
              <m:t xml:space="preserve">q</m:t>
            </m:r>
          </m:e>
          <m:sub>
            <m:r>
              <m:t xml:space="preserve">x</m:t>
            </m:r>
          </m:sub>
        </m:sSub>
      </m:oMath>
      <w:r>
        <w:rPr>
          <w:b/>
        </w:rPr>
        <w:t xml:space="preserve">):</w:t>
      </w:r>
      <w:r>
        <w:t xml:space="preserve"> </w:t>
      </w:r>
      <m:oMath>
        <m:sSub>
          <m:e>
            <m:r>
              <m:t xml:space="preserve">q</m:t>
            </m:r>
          </m:e>
          <m:sub>
            <m:r>
              <m:t xml:space="preserve">x</m:t>
            </m:r>
          </m:sub>
        </m:sSub>
        <m:r>
          <m:t xml:space="preserve"> = </m:t>
        </m:r>
        <m:sSub>
          <m:e>
            <m:r>
              <m:t xml:space="preserve">d</m:t>
            </m:r>
          </m:e>
          <m:sub>
            <m:r>
              <m:t xml:space="preserve">x</m:t>
            </m:r>
          </m:sub>
        </m:sSub>
        <m:r>
          <m:t xml:space="preserve"> / l</m:t>
        </m:r>
        <m:sSub>
          <m:e>
            <m:r>
              <m:t xml:space="preserve">'</m:t>
            </m:r>
          </m:e>
          <m:sub>
            <m:r>
              <m:t xml:space="preserve">x</m:t>
            </m:r>
          </m:sub>
        </m:sSub>
      </m:oMath>
      <w:r>
        <w:t xml:space="preserve">.</w:t>
      </w:r>
    </w:p>
    <w:p>
      <w:pPr>
        <w:pStyle w:val="ListParagraph"/>
        <w:spacing w:after="60"/>
        <w:ind w:left="360" w:hanging="260"/>
        <w:contextualSpacing/>
      </w:pPr>
      <w:r>
        <w:t xml:space="preserve">•  </w:t>
      </w:r>
      <w:r>
        <w:rPr>
          <w:b/>
        </w:rPr>
        <w:t xml:space="preserve">Calcular probabilidad de supervivencia (</w:t>
      </w:r>
      <m:oMath>
        <m:sSub>
          <m:e>
            <m:r>
              <m:t xml:space="preserve">p</m:t>
            </m:r>
          </m:e>
          <m:sub>
            <m:r>
              <m:t xml:space="preserve">x</m:t>
            </m:r>
          </m:sub>
        </m:sSub>
      </m:oMath>
      <w:r>
        <w:rPr>
          <w:b/>
        </w:rPr>
        <w:t xml:space="preserve">):</w:t>
      </w:r>
      <w:r>
        <w:t xml:space="preserve"> </w:t>
      </w:r>
      <m:oMath>
        <m:sSub>
          <m:e>
            <m:r>
              <m:t xml:space="preserve">p</m:t>
            </m:r>
          </m:e>
          <m:sub>
            <m:r>
              <m:t xml:space="preserve">x</m:t>
            </m:r>
          </m:sub>
        </m:sSub>
        <m:r>
          <m:t xml:space="preserve"> = 1 - </m:t>
        </m:r>
        <m:sSub>
          <m:e>
            <m:r>
              <m:t xml:space="preserve">q</m:t>
            </m:r>
          </m:e>
          <m:sub>
            <m:r>
              <m:t xml:space="preserve">x</m:t>
            </m:r>
          </m:sub>
        </m:sSub>
      </m:oMath>
      <w:r>
        <w:t xml:space="preserve">.</w:t>
      </w:r>
    </w:p>
    <w:p>
      <w:pPr>
        <w:pStyle w:val="ListParagraph"/>
        <w:spacing w:after="60"/>
        <w:ind w:left="360" w:hanging="260"/>
        <w:contextualSpacing/>
      </w:pPr>
      <w:r>
        <w:t xml:space="preserve">•  </w:t>
      </w:r>
      <w:r>
        <w:rPr>
          <w:b/>
        </w:rPr>
        <w:t xml:space="preserve">Calcular supervivencia acumulada (</w:t>
      </w:r>
      <m:oMath>
        <m:sSub>
          <m:e>
            <m:r>
              <m:t xml:space="preserve">S</m:t>
            </m:r>
          </m:e>
          <m:sub>
            <m:r>
              <m:t xml:space="preserve">x</m:t>
            </m:r>
          </m:sub>
        </m:sSub>
      </m:oMath>
      <w:r>
        <w:rPr>
          <w:b/>
        </w:rPr>
        <w:t xml:space="preserve">):</w:t>
      </w:r>
      <w:r>
        <w:t xml:space="preserve"> </w:t>
      </w:r>
      <m:oMath>
        <m:sSub>
          <m:e>
            <m:r>
              <m:t xml:space="preserve">S</m:t>
            </m:r>
          </m:e>
          <m:sub>
            <m:r>
              <m:t xml:space="preserve">x</m:t>
            </m:r>
          </m:sub>
        </m:sSub>
        <m:r>
          <m:t xml:space="preserve"> = </m:t>
        </m:r>
        <m:sSub>
          <m:e>
            <m:r>
              <m:t xml:space="preserve">S</m:t>
            </m:r>
          </m:e>
          <m:sub>
            <m:r>
              <m:t xml:space="preserve">x-1</m:t>
            </m:r>
          </m:sub>
        </m:sSub>
        <m:r>
          <m:t xml:space="preserve"> × </m:t>
        </m:r>
        <m:sSub>
          <m:e>
            <m:r>
              <m:t xml:space="preserve">p</m:t>
            </m:r>
          </m:e>
          <m:sub>
            <m:r>
              <m:t xml:space="preserve">x</m:t>
            </m:r>
          </m:sub>
        </m:sSub>
      </m:oMath>
      <w:r>
        <w:t xml:space="preserve"> (Nota: </w:t>
      </w:r>
      <m:oMath>
        <m:sSub>
          <m:e>
            <m:r>
              <m:t xml:space="preserve">S</m:t>
            </m:r>
          </m:e>
          <m:sub>
            <m:r>
              <m:t xml:space="preserve">0</m:t>
            </m:r>
          </m:sub>
        </m:sSub>
        <m:r>
          <m:t xml:space="preserve"> = 1,0</m:t>
        </m:r>
      </m:oMath>
      <w:r>
        <w:t xml:space="preserve">).</w:t>
      </w:r>
    </w:p>
    <w:p>
      <w:r>
        <w:rPr>
          <w:b/>
        </w:rPr>
        <w:t xml:space="preserve">Ejemplo Numérico Resuelto (Año 1):</w:t>
      </w:r>
      <w:r>
        <w:t xml:space="preserve"> Si iniciamos con 330 pacientes (</w:t>
      </w:r>
      <m:oMath>
        <m:sSub>
          <m:e>
            <m:r>
              <m:t xml:space="preserve">l</m:t>
            </m:r>
          </m:e>
          <m:sub>
            <m:r>
              <m:t xml:space="preserve">1</m:t>
            </m:r>
          </m:sub>
        </m:sSub>
      </m:oMath>
      <w:r>
        <w:t xml:space="preserve">), fallecen 79 (</w:t>
      </w:r>
      <m:oMath>
        <m:sSub>
          <m:e>
            <m:r>
              <m:t xml:space="preserve">d</m:t>
            </m:r>
          </m:e>
          <m:sub>
            <m:r>
              <m:t xml:space="preserve">1</m:t>
            </m:r>
          </m:sub>
        </m:sSub>
      </m:oMath>
      <w:r>
        <w:t xml:space="preserve">), se pierden 11 (</w:t>
      </w:r>
      <m:oMath>
        <m:sSub>
          <m:e>
            <m:r>
              <m:t xml:space="preserve">u</m:t>
            </m:r>
          </m:e>
          <m:sub>
            <m:r>
              <m:t xml:space="preserve">1</m:t>
            </m:r>
          </m:sub>
        </m:sSub>
      </m:oMath>
      <w:r>
        <w:t xml:space="preserve">) y 40 terminan el periodo (</w:t>
      </w:r>
      <m:oMath>
        <m:sSub>
          <m:e>
            <m:r>
              <m:t xml:space="preserve">w</m:t>
            </m:r>
          </m:e>
          <m:sub>
            <m:r>
              <m:t xml:space="preserve">1</m:t>
            </m:r>
          </m:sub>
        </m:sSub>
      </m:oMath>
      <w:r>
        <w:t xml:space="preserve">):</w:t>
      </w:r>
    </w:p>
    <w:p>
      <w:pPr>
        <w:pStyle w:val="ListParagraph"/>
        <w:spacing w:after="60"/>
        <w:ind w:left="360" w:hanging="260"/>
        <w:contextualSpacing/>
      </w:pPr>
      <w:r>
        <w:t xml:space="preserve">•  </w:t>
      </w:r>
      <m:oMath>
        <m:r>
          <m:t xml:space="preserve">l</m:t>
        </m:r>
        <m:sSub>
          <m:e>
            <m:r>
              <m:t xml:space="preserve">'</m:t>
            </m:r>
          </m:e>
          <m:sub>
            <m:r>
              <m:t xml:space="preserve">1</m:t>
            </m:r>
          </m:sub>
        </m:sSub>
        <m:r>
          <m:t xml:space="preserve"> = 330 - (11/2) - (40/2) = 330 - 5,5 - 20 = 304,5</m:t>
        </m:r>
      </m:oMath>
      <w:r>
        <w:t xml:space="preserve">.</w:t>
      </w:r>
    </w:p>
    <w:p>
      <w:pPr>
        <w:pStyle w:val="ListParagraph"/>
        <w:spacing w:after="60"/>
        <w:ind w:left="360" w:hanging="260"/>
        <w:contextualSpacing/>
      </w:pPr>
      <w:r>
        <w:t xml:space="preserve">•  </w:t>
      </w:r>
      <m:oMath>
        <m:sSub>
          <m:e>
            <m:r>
              <m:t xml:space="preserve">q</m:t>
            </m:r>
          </m:e>
          <m:sub>
            <m:r>
              <m:t xml:space="preserve">1</m:t>
            </m:r>
          </m:sub>
        </m:sSub>
        <m:r>
          <m:t xml:space="preserve"> = 79 / 304,5 = 0,259</m:t>
        </m:r>
      </m:oMath>
      <w:r>
        <w:t xml:space="preserve">.</w:t>
      </w:r>
    </w:p>
    <w:p>
      <w:pPr>
        <w:pStyle w:val="ListParagraph"/>
        <w:spacing w:after="60"/>
        <w:ind w:left="360" w:hanging="260"/>
        <w:contextualSpacing/>
      </w:pPr>
      <w:r>
        <w:t xml:space="preserve">•  </w:t>
      </w:r>
      <m:oMath>
        <m:sSub>
          <m:e>
            <m:r>
              <m:t xml:space="preserve">p</m:t>
            </m:r>
          </m:e>
          <m:sub>
            <m:r>
              <m:t xml:space="preserve">1</m:t>
            </m:r>
          </m:sub>
        </m:sSub>
        <m:r>
          <m:t xml:space="preserve"> = 1 - 0,259 = 0,741</m:t>
        </m:r>
      </m:oMath>
      <w:r>
        <w:t xml:space="preserve"> (74,1% sobrevive el primer año).</w:t>
      </w:r>
    </w:p>
    <w:p>
      <w:pPr>
        <w:pStyle w:val="Heading2"/>
      </w:pPr>
      <w:r>
        <w:t xml:space="preserve">IV. Método de Kaplan-Meier 🧮</w:t>
      </w:r>
    </w:p>
    <w:p>
      <w:pPr>
        <w:pStyle w:val="Heading3"/>
      </w:pPr>
      <w:r>
        <w:t xml:space="preserve">4.1 Definición y Manejo de Censuras</w:t>
      </w:r>
    </w:p>
    <w:p>
      <w:r>
        <w:t xml:space="preserve">A diferencia del método actuarial, el estimador de Kaplan-Meier calcula la supervivencia cada vez que ocurre un evento (muerte), sin agrupar por periodos fijos.</w:t>
      </w:r>
    </w:p>
    <w:p>
      <w:pPr>
        <w:pStyle w:val="ListParagraph"/>
        <w:spacing w:after="60"/>
        <w:ind w:left="360" w:hanging="260"/>
        <w:contextualSpacing/>
      </w:pPr>
      <w:r>
        <w:t xml:space="preserve">•  </w:t>
      </w:r>
      <w:r>
        <w:rPr>
          <w:b/>
        </w:rPr>
        <w:t xml:space="preserve">Censuras:</w:t>
      </w:r>
      <w:r>
        <w:t xml:space="preserve"> Son las pérdidas de seguimiento o pacientes que completan el estudio sin presentar el evento. En la gráfica se representan con pequeñas muescas verticales.</w:t>
      </w:r>
    </w:p>
    <w:p>
      <w:pPr>
        <w:pStyle w:val="Heading3"/>
      </w:pPr>
      <w:r>
        <w:t xml:space="preserve">4.2 Proceso de Cálculo 🧮</w:t>
      </w:r>
    </w:p>
    <w:p>
      <w:r>
        <w:t xml:space="preserve">La probabilidad acumulada se actualiza solo en los momentos </w:t>
      </w:r>
      <m:oMath>
        <m:sSub>
          <m:e>
            <m:r>
              <m:t xml:space="preserve">t</m:t>
            </m:r>
          </m:e>
          <m:sub>
            <m:r>
              <m:t xml:space="preserve">i</m:t>
            </m:r>
          </m:sub>
        </m:sSub>
      </m:oMath>
      <w:r>
        <w:t xml:space="preserve"> donde hay muertes:</w:t>
      </w:r>
    </w:p>
    <w:p>
      <w:pPr>
        <w:jc w:val="center"/>
        <w:spacing w:before="120" w:after="120"/>
      </w:pPr>
      <m:oMathPara>
        <m:oMath>
          <m:r>
            <m:t xml:space="preserve">S(</m:t>
          </m:r>
          <m:sSub>
            <m:e>
              <m:r>
                <m:t xml:space="preserve">t</m:t>
              </m:r>
            </m:e>
            <m:sub>
              <m:r>
                <m:t xml:space="preserve">i</m:t>
              </m:r>
            </m:sub>
          </m:sSub>
          <m:r>
            <m:t xml:space="preserve">) = S(</m:t>
          </m:r>
          <m:sSub>
            <m:e>
              <m:r>
                <m:t xml:space="preserve">t</m:t>
              </m:r>
            </m:e>
            <m:sub>
              <m:r>
                <m:t xml:space="preserve">i-1</m:t>
              </m:r>
            </m:sub>
          </m:sSub>
          <m:r>
            <m:t xml:space="preserve">) × </m:t>
          </m:r>
          <m:d>
            <m:dPr>
              <m:begChr m:val="["/>
              <m:endChr m:val="]"/>
            </m:dPr>
            <m:e>
              <m:r>
                <m:t xml:space="preserve"> 1 - </m:t>
              </m:r>
              <m:d>
                <m:dPr>
                  <m:begChr m:val="("/>
                  <m:endChr m:val=")"/>
                </m:dPr>
                <m:e>
                  <m:r>
                    <m:t xml:space="preserve"> </m:t>
                  </m:r>
                  <m:f>
                    <m:num>
                      <m:sSub>
                        <m:e>
                          <m:r>
                            <m:t xml:space="preserve">d</m:t>
                          </m:r>
                        </m:e>
                        <m:sub>
                          <m:r>
                            <m:t xml:space="preserve">i</m:t>
                          </m:r>
                        </m:sub>
                      </m:sSub>
                    </m:num>
                    <m:den>
                      <m:sSub>
                        <m:e>
                          <m:r>
                            <m:t xml:space="preserve">n</m:t>
                          </m:r>
                        </m:e>
                        <m:sub>
                          <m:r>
                            <m:t xml:space="preserve">i</m:t>
                          </m:r>
                        </m:sub>
                      </m:sSub>
                    </m:den>
                  </m:f>
                  <m:r>
                    <m:t xml:space="preserve"> </m:t>
                  </m:r>
                </m:e>
              </m:d>
              <m:r>
                <m:t xml:space="preserve"> </m:t>
              </m:r>
            </m:e>
          </m:d>
        </m:oMath>
      </m:oMathPara>
    </w:p>
    <w:p>
      <w:pPr>
        <w:pStyle w:val="ListParagraph"/>
        <w:spacing w:after="60"/>
        <w:ind w:left="360" w:hanging="260"/>
        <w:contextualSpacing/>
      </w:pPr>
      <w:r>
        <w:t xml:space="preserve">•  </w:t>
      </w:r>
      <m:oMath>
        <m:sSub>
          <m:e>
            <m:r>
              <m:t xml:space="preserve">n</m:t>
            </m:r>
          </m:e>
          <m:sub>
            <m:r>
              <m:t xml:space="preserve">i</m:t>
            </m:r>
          </m:sub>
        </m:sSub>
      </m:oMath>
      <w:r>
        <w:t xml:space="preserve">: Sujetos en riesgo justo antes del tiempo </w:t>
      </w:r>
      <m:oMath>
        <m:sSub>
          <m:e>
            <m:r>
              <m:t xml:space="preserve">t</m:t>
            </m:r>
          </m:e>
          <m:sub>
            <m:r>
              <m:t xml:space="preserve">i</m:t>
            </m:r>
          </m:sub>
        </m:sSub>
      </m:oMath>
      <w:r>
        <w:t xml:space="preserve">.</w:t>
      </w:r>
    </w:p>
    <w:p>
      <w:pPr>
        <w:pStyle w:val="ListParagraph"/>
        <w:spacing w:after="60"/>
        <w:ind w:left="360" w:hanging="260"/>
        <w:contextualSpacing/>
      </w:pPr>
      <w:r>
        <w:t xml:space="preserve">•  </w:t>
      </w:r>
      <m:oMath>
        <m:sSub>
          <m:e>
            <m:r>
              <m:t xml:space="preserve">d</m:t>
            </m:r>
          </m:e>
          <m:sub>
            <m:r>
              <m:t xml:space="preserve">i</m:t>
            </m:r>
          </m:sub>
        </m:sSub>
      </m:oMath>
      <w:r>
        <w:t xml:space="preserve">: Número de eventos (muertes) en el tiempo </w:t>
      </w:r>
      <m:oMath>
        <m:sSub>
          <m:e>
            <m:r>
              <m:t xml:space="preserve">t</m:t>
            </m:r>
          </m:e>
          <m:sub>
            <m:r>
              <m:t xml:space="preserve">i</m:t>
            </m:r>
          </m:sub>
        </m:sSub>
      </m:oMath>
      <w:r>
        <w:t xml:space="preserve">.</w:t>
      </w:r>
    </w:p>
    <w:p>
      <w:r>
        <w:rPr>
          <w:b/>
        </w:rPr>
        <w:t xml:space="preserve">Ejemplo Numérico Resuelto (10 niños con cardiopatía):</w:t>
      </w:r>
      <w:r>
        <w:t xml:space="preserve"> En el mes 2 fallece el primer niño. </w:t>
      </w:r>
      <m:oMath>
        <m:sSub>
          <m:e>
            <m:r>
              <m:t xml:space="preserve">n</m:t>
            </m:r>
          </m:e>
          <m:sub>
            <m:r>
              <m:t xml:space="preserve">i</m:t>
            </m:r>
          </m:sub>
        </m:sSub>
        <m:r>
          <m:t xml:space="preserve">=10</m:t>
        </m:r>
      </m:oMath>
      <w:r>
        <w:t xml:space="preserve">, </w:t>
      </w:r>
      <m:oMath>
        <m:sSub>
          <m:e>
            <m:r>
              <m:t xml:space="preserve">d</m:t>
            </m:r>
          </m:e>
          <m:sub>
            <m:r>
              <m:t xml:space="preserve">i</m:t>
            </m:r>
          </m:sub>
        </m:sSub>
        <m:r>
          <m:t xml:space="preserve">=1</m:t>
        </m:r>
      </m:oMath>
      <w:r>
        <w:t xml:space="preserve">.</w:t>
      </w:r>
    </w:p>
    <w:p>
      <w:pPr>
        <w:pStyle w:val="ListParagraph"/>
        <w:spacing w:after="60"/>
        <w:ind w:left="360" w:hanging="260"/>
        <w:contextualSpacing/>
      </w:pPr>
      <w:r>
        <w:t xml:space="preserve">•  </w:t>
      </w:r>
      <m:oMath>
        <m:r>
          <m:t xml:space="preserve">S(t=2) = 1,0 × [1 - (1/10)] = 0,900</m:t>
        </m:r>
      </m:oMath>
      <w:r>
        <w:t xml:space="preserve"> (90% de supervivencia).</w:t>
      </w:r>
    </w:p>
    <w:p>
      <w:pPr>
        <w:pStyle w:val="Heading2"/>
      </w:pPr>
      <w:r>
        <w:t xml:space="preserve">V. Indicadores Avanzados de Pronóstico</w:t>
      </w:r>
    </w:p>
    <w:p>
      <w:pPr>
        <w:pStyle w:val="Heading3"/>
      </w:pPr>
      <w:r>
        <w:t xml:space="preserve">5.1 Mediana de Supervivencia 🧮</w:t>
      </w:r>
    </w:p>
    <w:p>
      <w:r>
        <w:t xml:space="preserve">Es el tiempo exacto en el que sobrevive el 50% de la cohorte original.</w:t>
      </w:r>
    </w:p>
    <w:p>
      <w:pPr>
        <w:pStyle w:val="ListParagraph"/>
        <w:spacing w:after="60"/>
        <w:ind w:left="360" w:hanging="260"/>
        <w:contextualSpacing/>
      </w:pPr>
      <w:r>
        <w:t xml:space="preserve">•  </w:t>
      </w:r>
      <w:r>
        <w:rPr>
          <w:b/>
        </w:rPr>
        <w:t xml:space="preserve">Ventaja:</w:t>
      </w:r>
      <w:r>
        <w:t xml:space="preserve"> No se ve afectada por valores extremos y no requiere esperar a que todos los pacientes fallezcan para ser calculada.</w:t>
      </w:r>
    </w:p>
    <w:p>
      <w:pPr>
        <w:pStyle w:val="ListParagraph"/>
        <w:spacing w:after="60"/>
        <w:ind w:left="360" w:hanging="260"/>
        <w:contextualSpacing/>
      </w:pPr>
      <w:r>
        <w:t xml:space="preserve">•  </w:t>
      </w:r>
      <w:r>
        <w:rPr>
          <w:b/>
        </w:rPr>
        <w:t xml:space="preserve">Ejemplos:</w:t>
      </w:r>
      <w:r>
        <w:t xml:space="preserve"> Cáncer de páncreas (6-12 meses); cáncer de mama localmente avanzado (2-3 años).</w:t>
      </w:r>
    </w:p>
    <w:p>
      <w:pPr>
        <w:pStyle w:val="Heading3"/>
      </w:pPr>
      <w:r>
        <w:t xml:space="preserve">5.2 Tasa de Supervivencia Relativa (TSR) 🧮</w:t>
      </w:r>
    </w:p>
    <w:p>
      <w:r>
        <w:t xml:space="preserve">Compara la supervivencia de los pacientes con la supervivencia esperada en una población general de la misma edad y sexo que no padece la enfermedad. Permite eliminar el efecto de la mortalidad por otras causas (mortalidad competitiva).</w:t>
      </w:r>
    </w:p>
    <w:p>
      <w:r>
        <w:rPr>
          <w:b/>
        </w:rPr>
        <w:t xml:space="preserve">Fórmula:</w:t>
      </w:r>
    </w:p>
    <w:p>
      <w:pPr>
        <w:jc w:val="center"/>
        <w:spacing w:before="120" w:after="120"/>
      </w:pPr>
      <m:oMathPara>
        <m:oMath>
          <m:r>
            <m:t xml:space="preserve">TSR = </m:t>
          </m:r>
          <m:f>
            <m:num>
              <m:r>
                <m:t xml:space="preserve">Supervivencia Observada</m:t>
              </m:r>
            </m:num>
            <m:den>
              <m:r>
                <m:t xml:space="preserve">Supervivencia Esperada</m:t>
              </m:r>
            </m:den>
          </m:f>
        </m:oMath>
      </m:oMathPara>
    </w:p>
    <w:p>
      <w:r>
        <w:rPr>
          <w:b/>
        </w:rPr>
        <w:t xml:space="preserve">Ejemplo Numérico Resuelto (Cáncer Colorrectal Estadio II):</w:t>
      </w:r>
    </w:p>
    <w:p>
      <w:pPr>
        <w:pStyle w:val="ListParagraph"/>
        <w:spacing w:after="60"/>
        <w:ind w:left="360" w:hanging="260"/>
        <w:contextualSpacing/>
      </w:pPr>
      <w:r>
        <w:t xml:space="preserve">•  </w:t>
      </w:r>
      <w:r>
        <w:rPr>
          <w:b/>
        </w:rPr>
        <w:t xml:space="preserve">Supervivencia observada a 5 años:</w:t>
      </w:r>
      <w:r>
        <w:t xml:space="preserve"> 72% (</w:t>
      </w:r>
      <m:oMath>
        <m:r>
          <m:t xml:space="preserve">0,72</m:t>
        </m:r>
      </m:oMath>
      <w:r>
        <w:t xml:space="preserve">).</w:t>
      </w:r>
    </w:p>
    <w:p>
      <w:pPr>
        <w:pStyle w:val="ListParagraph"/>
        <w:spacing w:after="60"/>
        <w:ind w:left="360" w:hanging="260"/>
        <w:contextualSpacing/>
      </w:pPr>
      <w:r>
        <w:t xml:space="preserve">•  </w:t>
      </w:r>
      <w:r>
        <w:rPr>
          <w:b/>
        </w:rPr>
        <w:t xml:space="preserve">Supervivencia esperada en población general:</w:t>
      </w:r>
      <w:r>
        <w:t xml:space="preserve"> 85% (</w:t>
      </w:r>
      <m:oMath>
        <m:r>
          <m:t xml:space="preserve">0,85</m:t>
        </m:r>
      </m:oMath>
      <w:r>
        <w:t xml:space="preserve">).</w:t>
      </w:r>
    </w:p>
    <w:p>
      <w:pPr>
        <w:pStyle w:val="ListParagraph"/>
        <w:spacing w:after="60"/>
        <w:ind w:left="360" w:hanging="260"/>
        <w:contextualSpacing/>
      </w:pPr>
      <w:r>
        <w:t xml:space="preserve">•  </w:t>
      </w:r>
      <m:oMath>
        <m:r>
          <m:t xml:space="preserve">TSR = 0,72 / 0,85 = 0,847</m:t>
        </m:r>
      </m:oMath>
      <w:r>
        <w:t xml:space="preserve"> (84,7%).</w:t>
      </w:r>
    </w:p>
    <w:p>
      <w:r>
        <w:rPr>
          <w:b/>
        </w:rPr>
        <w:t xml:space="preserve">Interpretación:</w:t>
      </w:r>
      <w:r>
        <w:t xml:space="preserve"> El cáncer genera una reducción relativa de la supervivencia del 15,3% (100% - 84,7%) atribuible estrictamente a la patología.</w:t>
      </w:r>
    </w:p>
    <w:p>
      <w:pPr>
        <w:pStyle w:val="Heading1"/>
      </w:pPr>
      <w:r>
        <w:t xml:space="preserve">TEMA 7 — Meta-análisis e Interpretación de Forest Plot</w:t>
      </w:r>
    </w:p>
    <w:p>
      <w:pPr>
        <w:pStyle w:val="Heading2"/>
      </w:pPr>
      <w:r>
        <w:t xml:space="preserve">I. Fundamentos de la Revisión Sistemática (RS) frente a la Revisión Narrativa</w:t>
      </w:r>
    </w:p>
    <w:p>
      <w:pPr>
        <w:pStyle w:val="Heading3"/>
      </w:pPr>
      <w:r>
        <w:t xml:space="preserve">1.1 Definición de Revisión Sistemática</w:t>
      </w:r>
    </w:p>
    <w:p>
      <w:r>
        <w:t xml:space="preserve">La Revisión Sistemática se define como una modalidad de investigación secundaria en la cual la unidad de análisis no son los pacientes individuales, sino los estudios originales primarios ya publicados. Su propósito es recopilar de manera rigurosa y reproducible toda la evidencia científica disponible sobre una pregunta de investigación específica. Se distingue de la revisión narrativa tradicional por la aplicación de un método científico estructurado que minimiza la probabilidad de cometer errores de tipo II y reduce el sesgo del investigador.</w:t>
      </w:r>
    </w:p>
    <w:p>
      <w:pPr>
        <w:pStyle w:val="Heading3"/>
      </w:pPr>
      <w:r>
        <w:t xml:space="preserve">1.2 Diferencias Críticas con la Revisión Narrativa</w:t>
      </w:r>
    </w:p>
    <w:p>
      <w:pPr>
        <w:pStyle w:val="ListParagraph"/>
        <w:spacing w:after="60"/>
        <w:ind w:left="360" w:hanging="260"/>
        <w:contextualSpacing/>
      </w:pPr>
      <w:r>
        <w:t xml:space="preserve">•  </w:t>
      </w:r>
      <w:r>
        <w:rPr>
          <w:b/>
        </w:rPr>
        <w:t xml:space="preserve">Pregunta de Investigación:</w:t>
      </w:r>
      <w:r>
        <w:t xml:space="preserve"> La RS utiliza una pregunta explícita y estructurada, mientras que la narrativa suele ser temática y general.</w:t>
      </w:r>
    </w:p>
    <w:p>
      <w:pPr>
        <w:pStyle w:val="ListParagraph"/>
        <w:spacing w:after="60"/>
        <w:ind w:left="360" w:hanging="260"/>
        <w:contextualSpacing/>
      </w:pPr>
      <w:r>
        <w:t xml:space="preserve">•  </w:t>
      </w:r>
      <w:r>
        <w:rPr>
          <w:b/>
        </w:rPr>
        <w:t xml:space="preserve">Búsqueda de Evidencia:</w:t>
      </w:r>
      <w:r>
        <w:t xml:space="preserve"> La RS realiza una búsqueda exhaustiva en múltiples bases de datos; la narrativa suele ser selectiva y a menudo sesgada por la opinión del autor.</w:t>
      </w:r>
    </w:p>
    <w:p>
      <w:pPr>
        <w:pStyle w:val="ListParagraph"/>
        <w:spacing w:after="60"/>
        <w:ind w:left="360" w:hanging="260"/>
        <w:contextualSpacing/>
      </w:pPr>
      <w:r>
        <w:t xml:space="preserve">•  </w:t>
      </w:r>
      <w:r>
        <w:rPr>
          <w:b/>
        </w:rPr>
        <w:t xml:space="preserve">Criterios de Selección:</w:t>
      </w:r>
      <w:r>
        <w:t xml:space="preserve"> La RS emplea criterios de inclusión y exclusión preespecificados y transparentes; la narrativa carece de ellos.</w:t>
      </w:r>
    </w:p>
    <w:p>
      <w:pPr>
        <w:pStyle w:val="ListParagraph"/>
        <w:spacing w:after="60"/>
        <w:ind w:left="360" w:hanging="260"/>
        <w:contextualSpacing/>
      </w:pPr>
      <w:r>
        <w:t xml:space="preserve">•  </w:t>
      </w:r>
      <w:r>
        <w:rPr>
          <w:b/>
        </w:rPr>
        <w:t xml:space="preserve">Evaluación de Calidad:</w:t>
      </w:r>
      <w:r>
        <w:t xml:space="preserve"> La RS evalúa obligatoriamente el riesgo de sesgo de los estudios incluidos mediante herramientas estandarizadas como Cochrane RoB o Newcastle-Ottawa; la narrativa no suele hacerlo.</w:t>
      </w:r>
    </w:p>
    <w:p>
      <w:pPr>
        <w:pStyle w:val="Heading3"/>
      </w:pPr>
      <w:r>
        <w:t xml:space="preserve">1.3 Aportes a la Clínica y Salud Pública</w:t>
      </w:r>
    </w:p>
    <w:p>
      <w:r>
        <w:t xml:space="preserve">Las RS son fundamentales porque ahorran tiempo al clínico al sintetizar grandes volúmenes de datos, aumentan la precisión de los estimados, resuelven inconsistencias entre estudios previos e identifican lagunas donde aún falta conocimiento. Además, constituyen la base científica ineludible para la elaboración de Guías de Práctica Clínica (GPC).</w:t>
      </w:r>
    </w:p>
    <w:p>
      <w:pPr>
        <w:pStyle w:val="Heading2"/>
      </w:pPr>
      <w:r>
        <w:t xml:space="preserve">II. El Formato PICOS y el Flujo PRISMA</w:t>
      </w:r>
    </w:p>
    <w:p>
      <w:pPr>
        <w:pStyle w:val="Heading3"/>
      </w:pPr>
      <w:r>
        <w:t xml:space="preserve">2.1 Estructura de la Pregunta: Formato PICOS</w:t>
      </w:r>
    </w:p>
    <w:p>
      <w:r>
        <w:t xml:space="preserve">Para que una RS sea válida, debe nacer de una pregunta estructurada bajo el acrónimo PICOS, el cual define el soporte de lo que se desea dar a conocer:</w:t>
      </w:r>
    </w:p>
    <w:p>
      <w:pPr>
        <w:pStyle w:val="ListParagraph"/>
        <w:spacing w:after="60"/>
        <w:ind w:left="360" w:hanging="260"/>
        <w:contextualSpacing/>
      </w:pPr>
      <w:r>
        <w:t xml:space="preserve">•  </w:t>
      </w:r>
      <w:r>
        <w:rPr>
          <w:b/>
        </w:rPr>
        <w:t xml:space="preserve">P (Participantes):</w:t>
      </w:r>
      <w:r>
        <w:t xml:space="preserve"> Definición precisa de la población (ej. adultos </w:t>
      </w:r>
      <m:oMath>
        <m:r>
          <m:t xml:space="preserve">≥</m:t>
        </m:r>
      </m:oMath>
      <w:r>
        <w:t xml:space="preserve"> 40 años con HTA).</w:t>
      </w:r>
    </w:p>
    <w:p>
      <w:pPr>
        <w:pStyle w:val="ListParagraph"/>
        <w:spacing w:after="60"/>
        <w:ind w:left="360" w:hanging="260"/>
        <w:contextualSpacing/>
      </w:pPr>
      <w:r>
        <w:t xml:space="preserve">•  </w:t>
      </w:r>
      <w:r>
        <w:rPr>
          <w:b/>
        </w:rPr>
        <w:t xml:space="preserve">I (Intervención):</w:t>
      </w:r>
      <w:r>
        <w:t xml:space="preserve"> El tratamiento o exposición objeto de estudio (ej. estatinas o actividad física).</w:t>
      </w:r>
    </w:p>
    <w:p>
      <w:pPr>
        <w:pStyle w:val="ListParagraph"/>
        <w:spacing w:after="60"/>
        <w:ind w:left="360" w:hanging="260"/>
        <w:contextualSpacing/>
      </w:pPr>
      <w:r>
        <w:t xml:space="preserve">•  </w:t>
      </w:r>
      <w:r>
        <w:rPr>
          <w:b/>
        </w:rPr>
        <w:t xml:space="preserve">C (Comparación):</w:t>
      </w:r>
      <w:r>
        <w:t xml:space="preserve"> Contra qué se mide el efecto (ej. placebo o tratamiento estándar).</w:t>
      </w:r>
    </w:p>
    <w:p>
      <w:pPr>
        <w:pStyle w:val="ListParagraph"/>
        <w:spacing w:after="60"/>
        <w:ind w:left="360" w:hanging="260"/>
        <w:contextualSpacing/>
      </w:pPr>
      <w:r>
        <w:t xml:space="preserve">•  </w:t>
      </w:r>
      <w:r>
        <w:rPr>
          <w:b/>
        </w:rPr>
        <w:t xml:space="preserve">O (Outcomes / Desenlaces):</w:t>
      </w:r>
      <w:r>
        <w:t xml:space="preserve"> Las variables de salida o resultados clínicos que se van a medir (ej. reducción de mortalidad o cifras tensionales).</w:t>
      </w:r>
    </w:p>
    <w:p>
      <w:pPr>
        <w:pStyle w:val="ListParagraph"/>
        <w:spacing w:after="60"/>
        <w:ind w:left="360" w:hanging="260"/>
        <w:contextualSpacing/>
      </w:pPr>
      <w:r>
        <w:t xml:space="preserve">•  </w:t>
      </w:r>
      <w:r>
        <w:rPr>
          <w:b/>
        </w:rPr>
        <w:t xml:space="preserve">S (Study Design):</w:t>
      </w:r>
      <w:r>
        <w:t xml:space="preserve"> El tipo de diseño de los estudios que se incluirán (ej. solo Ensayos Clínicos Aleatorizados).</w:t>
      </w:r>
    </w:p>
    <w:p>
      <w:pPr>
        <w:pStyle w:val="Heading3"/>
      </w:pPr>
      <w:r>
        <w:t xml:space="preserve">2.2 El Proceso PRISMA: Pasos Metodológicos</w:t>
      </w:r>
    </w:p>
    <w:p>
      <w:r>
        <w:t xml:space="preserve">La conducción de una RS sigue el diagrama de flujo PRISMA para garantizar transparencia en la trazabilidad de los datos:</w:t>
      </w:r>
    </w:p>
    <w:p>
      <w:pPr>
        <w:pStyle w:val="ListParagraph"/>
        <w:spacing w:after="60"/>
        <w:ind w:left="360" w:hanging="260"/>
        <w:contextualSpacing/>
      </w:pPr>
      <w:r>
        <w:t xml:space="preserve">•  </w:t>
      </w:r>
      <w:r>
        <w:rPr>
          <w:b/>
        </w:rPr>
        <w:t xml:space="preserve">Identificación:</w:t>
      </w:r>
      <w:r>
        <w:t xml:space="preserve"> Búsqueda sistemática en bases de datos como PubMed, Cochrane, EMBASE y LILACS, incluyendo la eliminación de registros duplicados.</w:t>
      </w:r>
    </w:p>
    <w:p>
      <w:pPr>
        <w:pStyle w:val="ListParagraph"/>
        <w:spacing w:after="60"/>
        <w:ind w:left="360" w:hanging="260"/>
        <w:contextualSpacing/>
      </w:pPr>
      <w:r>
        <w:t xml:space="preserve">•  </w:t>
      </w:r>
      <w:r>
        <w:rPr>
          <w:b/>
        </w:rPr>
        <w:t xml:space="preserve">Cribado (Screening):</w:t>
      </w:r>
      <w:r>
        <w:t xml:space="preserve"> Revisión inicial de títulos y resúmenes para descartar estudios irrelevantes.</w:t>
      </w:r>
    </w:p>
    <w:p>
      <w:pPr>
        <w:pStyle w:val="ListParagraph"/>
        <w:spacing w:after="60"/>
        <w:ind w:left="360" w:hanging="260"/>
        <w:contextualSpacing/>
      </w:pPr>
      <w:r>
        <w:t xml:space="preserve">•  </w:t>
      </w:r>
      <w:r>
        <w:rPr>
          <w:b/>
        </w:rPr>
        <w:t xml:space="preserve">Elegibilidad:</w:t>
      </w:r>
      <w:r>
        <w:t xml:space="preserve"> Lectura a texto completo de los artículos seleccionados para aplicar rigurosamente los criterios de inclusión/exclusión, proceso realizado idealmente por dos revisores independientes.</w:t>
      </w:r>
    </w:p>
    <w:p>
      <w:pPr>
        <w:pStyle w:val="ListParagraph"/>
        <w:spacing w:after="60"/>
        <w:ind w:left="360" w:hanging="260"/>
        <w:contextualSpacing/>
      </w:pPr>
      <w:r>
        <w:t xml:space="preserve">•  </w:t>
      </w:r>
      <w:r>
        <w:rPr>
          <w:b/>
        </w:rPr>
        <w:t xml:space="preserve">Inclusión:</w:t>
      </w:r>
      <w:r>
        <w:t xml:space="preserve"> Selección final de los estudios que formarán parte de la síntesis cualitativa y, si la homogeneidad lo permite, de la síntesis cuantitativa o meta-análisis.</w:t>
      </w:r>
    </w:p>
    <w:p>
      <w:pPr>
        <w:pStyle w:val="Heading2"/>
      </w:pPr>
      <w:r>
        <w:t xml:space="preserve">III. Meta-análisis: Concepto y Modelos Estadísticos</w:t>
      </w:r>
    </w:p>
    <w:p>
      <w:pPr>
        <w:pStyle w:val="Heading3"/>
      </w:pPr>
      <w:r>
        <w:t xml:space="preserve">3.1 Definición y Potencia Estadística</w:t>
      </w:r>
    </w:p>
    <w:p>
      <w:r>
        <w:t xml:space="preserve">El meta-análisis es el componente estadístico de una RS que combina cuantitativamente los resultados de los estudios individuales para obtener un estimador global o combinado. Su principal ventaja es que aumenta la potencia estadística para detectar efectos pequeños que no fueron evidentes en estudios individuales con muestras reducidas. Aunque toda RS debe ser sistemática, no todas las RS incluyen necesariamente un meta-análisis si los estudios son demasiado heterogéneos.</w:t>
      </w:r>
    </w:p>
    <w:p>
      <w:pPr>
        <w:pStyle w:val="Heading3"/>
      </w:pPr>
      <w:r>
        <w:t xml:space="preserve">3.2 Modelos de Efectos: Fijos frente a Aleatorios</w:t>
      </w:r>
    </w:p>
    <w:p>
      <w:r>
        <w:t xml:space="preserve">Existen dos modelos conceptuales para realizar la síntesis cuantitativa:</w:t>
      </w:r>
    </w:p>
    <w:p>
      <w:pPr>
        <w:pStyle w:val="ListParagraph"/>
        <w:spacing w:after="60"/>
        <w:ind w:left="360" w:hanging="260"/>
        <w:contextualSpacing/>
      </w:pPr>
      <w:r>
        <w:t xml:space="preserve">•  </w:t>
      </w:r>
      <w:r>
        <w:rPr>
          <w:b/>
        </w:rPr>
        <w:t xml:space="preserve">Modelo de Efectos Fijos:</w:t>
      </w:r>
      <w:r>
        <w:t xml:space="preserve"> Asume que existe un único efecto verdadero compartido por todos los estudios y que las diferencias observadas entre ellos se deben únicamente al azar del muestreo. Se utiliza cuando la heterogeneidad estadística es baja (</w:t>
      </w:r>
      <m:oMath>
        <m:sSup>
          <m:e>
            <m:r>
              <m:t xml:space="preserve">I</m:t>
            </m:r>
          </m:e>
          <m:sup>
            <m:r>
              <m:t xml:space="preserve">2</m:t>
            </m:r>
          </m:sup>
        </m:sSup>
        <m:r>
          <m:t xml:space="preserve"> &lt; 40%</m:t>
        </m:r>
      </m:oMath>
      <w:r>
        <w:t xml:space="preserve">).</w:t>
      </w:r>
    </w:p>
    <w:p>
      <w:pPr>
        <w:pStyle w:val="ListParagraph"/>
        <w:spacing w:after="60"/>
        <w:ind w:left="360" w:hanging="260"/>
        <w:contextualSpacing/>
      </w:pPr>
      <w:r>
        <w:t xml:space="preserve">•  </w:t>
      </w:r>
      <w:r>
        <w:rPr>
          <w:b/>
        </w:rPr>
        <w:t xml:space="preserve">Modelo de Efectos Aleatorios:</w:t>
      </w:r>
      <w:r>
        <w:t xml:space="preserve"> Asume que el efecto verdadero varía entre los estudios debido a diferencias reales en las poblaciones, dosis o entornos. En este modelo, las diferencias se deben tanto al azar como a la variabilidad real entre estudios. Es obligatorio cuando la heterogeneidad es considerable (</w:t>
      </w:r>
      <m:oMath>
        <m:sSup>
          <m:e>
            <m:r>
              <m:t xml:space="preserve">I</m:t>
            </m:r>
          </m:e>
          <m:sup>
            <m:r>
              <m:t xml:space="preserve">2</m:t>
            </m:r>
          </m:sup>
        </m:sSup>
        <m:r>
          <m:t xml:space="preserve"> &gt; 50-70%</m:t>
        </m:r>
      </m:oMath>
      <w:r>
        <w:t xml:space="preserve">).</w:t>
      </w:r>
    </w:p>
    <w:p>
      <w:pPr>
        <w:pStyle w:val="Heading3"/>
      </w:pPr>
      <w:r>
        <w:t xml:space="preserve">3.3 Estadístico de Heterogeneidad (</w:t>
      </w:r>
      <m:oMath>
        <m:sSup>
          <m:e>
            <m:r>
              <m:t xml:space="preserve">I</m:t>
            </m:r>
          </m:e>
          <m:sup>
            <m:r>
              <m:t xml:space="preserve">2</m:t>
            </m:r>
          </m:sup>
        </m:sSup>
      </m:oMath>
      <w:r>
        <w:t xml:space="preserve">) 🧮</w:t>
      </w:r>
    </w:p>
    <w:p>
      <w:r>
        <w:t xml:space="preserve">El índice </w:t>
      </w:r>
      <m:oMath>
        <m:sSup>
          <m:e>
            <m:r>
              <m:t xml:space="preserve">I</m:t>
            </m:r>
          </m:e>
          <m:sup>
            <m:r>
              <m:t xml:space="preserve">2</m:t>
            </m:r>
          </m:sup>
        </m:sSup>
      </m:oMath>
      <w:r>
        <w:t xml:space="preserve"> mide el porcentaje de la variabilidad en los resultados que se debe a la heterogeneidad entre estudios y no al azar. Su interpretación técnica sigue esta escala:</w:t>
      </w:r>
    </w:p>
    <w:p>
      <w:pPr>
        <w:pStyle w:val="ListParagraph"/>
        <w:spacing w:after="60"/>
        <w:ind w:left="360" w:hanging="260"/>
        <w:contextualSpacing/>
      </w:pPr>
      <w:r>
        <w:t xml:space="preserve">•  </w:t>
      </w:r>
      <w:r>
        <w:rPr>
          <w:b/>
        </w:rPr>
        <w:t xml:space="preserve">0% a 40%:</w:t>
      </w:r>
      <w:r>
        <w:t xml:space="preserve"> Heterogeneidad baja; puede no ser importante.</w:t>
      </w:r>
    </w:p>
    <w:p>
      <w:pPr>
        <w:pStyle w:val="ListParagraph"/>
        <w:spacing w:after="60"/>
        <w:ind w:left="360" w:hanging="260"/>
        <w:contextualSpacing/>
      </w:pPr>
      <w:r>
        <w:t xml:space="preserve">•  </w:t>
      </w:r>
      <w:r>
        <w:rPr>
          <w:b/>
        </w:rPr>
        <w:t xml:space="preserve">30% a 60%:</w:t>
      </w:r>
      <w:r>
        <w:t xml:space="preserve"> Heterogeneidad moderada.</w:t>
      </w:r>
    </w:p>
    <w:p>
      <w:pPr>
        <w:pStyle w:val="ListParagraph"/>
        <w:spacing w:after="60"/>
        <w:ind w:left="360" w:hanging="260"/>
        <w:contextualSpacing/>
      </w:pPr>
      <w:r>
        <w:t xml:space="preserve">•  </w:t>
      </w:r>
      <w:r>
        <w:rPr>
          <w:b/>
        </w:rPr>
        <w:t xml:space="preserve">50% a 90%:</w:t>
      </w:r>
      <w:r>
        <w:t xml:space="preserve"> Heterogeneidad sustancial.</w:t>
      </w:r>
    </w:p>
    <w:p>
      <w:pPr>
        <w:pStyle w:val="ListParagraph"/>
        <w:spacing w:after="60"/>
        <w:ind w:left="360" w:hanging="260"/>
        <w:contextualSpacing/>
      </w:pPr>
      <w:r>
        <w:t xml:space="preserve">•  </w:t>
      </w:r>
      <w:r>
        <w:rPr>
          <w:b/>
        </w:rPr>
        <w:t xml:space="preserve">75% a 100%:</w:t>
      </w:r>
      <w:r>
        <w:t xml:space="preserve"> Heterogeneidad considerable.</w:t>
      </w:r>
    </w:p>
    <w:p>
      <w:pPr>
        <w:pStyle w:val="Heading2"/>
      </w:pPr>
      <w:r>
        <w:t xml:space="preserve">IV. Interpretación Detallada del Forest Plot</w:t>
      </w:r>
    </w:p>
    <w:p>
      <w:r>
        <w:t xml:space="preserve">El Forest Plot es la herramienta gráfica que resume visualmente toda la información del meta-análisis. Sus componentes son:</w:t>
      </w:r>
    </w:p>
    <w:p>
      <w:pPr>
        <w:pStyle w:val="ListParagraph"/>
        <w:spacing w:after="60"/>
        <w:ind w:left="360" w:hanging="260"/>
        <w:contextualSpacing/>
      </w:pPr>
      <w:r>
        <w:t xml:space="preserve">•  </w:t>
      </w:r>
      <w:r>
        <w:rPr>
          <w:b/>
        </w:rPr>
        <w:t xml:space="preserve">Eje Horizontal (Escala Métrica):</w:t>
      </w:r>
      <w:r>
        <w:t xml:space="preserve"> En la parte inferior, indica la magnitud de la diferencia de medias o el grado de asociación (RR/OR).</w:t>
      </w:r>
    </w:p>
    <w:p>
      <w:pPr>
        <w:pStyle w:val="ListParagraph"/>
        <w:spacing w:after="60"/>
        <w:ind w:left="360" w:hanging="260"/>
        <w:contextualSpacing/>
      </w:pPr>
      <w:r>
        <w:t xml:space="preserve">•  </w:t>
      </w:r>
      <w:r>
        <w:rPr>
          <w:b/>
        </w:rPr>
        <w:t xml:space="preserve">Línea de No Efecto (Línea Vertical):</w:t>
      </w:r>
      <w:r>
        <w:t xml:space="preserve"> Cruza el valor 1 si se miden razones (RR/OR) o el valor 0 si se miden diferencias de medias. Si el intervalo de confianza de un estudio cruza esta línea, el resultado no es estadísticamente significativo para ese estudio.</w:t>
      </w:r>
    </w:p>
    <w:p>
      <w:pPr>
        <w:pStyle w:val="ListParagraph"/>
        <w:spacing w:after="60"/>
        <w:ind w:left="360" w:hanging="260"/>
        <w:contextualSpacing/>
      </w:pPr>
      <w:r>
        <w:t xml:space="preserve">•  </w:t>
      </w:r>
      <w:r>
        <w:rPr>
          <w:b/>
        </w:rPr>
        <w:t xml:space="preserve">Cuadrado (Estimado Puntual):</w:t>
      </w:r>
      <w:r>
        <w:t xml:space="preserve"> Representa el resultado individual de cada estudio. Su tamaño es directamente proporcional al peso o contribución del estudio al meta-análisis (a mayor muestra, cuadrado más grande).</w:t>
      </w:r>
    </w:p>
    <w:p>
      <w:pPr>
        <w:pStyle w:val="ListParagraph"/>
        <w:spacing w:after="60"/>
        <w:ind w:left="360" w:hanging="260"/>
        <w:contextualSpacing/>
      </w:pPr>
      <w:r>
        <w:t xml:space="preserve">•  </w:t>
      </w:r>
      <w:r>
        <w:rPr>
          <w:b/>
        </w:rPr>
        <w:t xml:space="preserve">Líneas Horizontales:</w:t>
      </w:r>
      <w:r>
        <w:t xml:space="preserve"> Representan el Intervalo de Confianza (IC) del 95% de cada estudio. Una línea corta indica mayor precisión; una línea larga indica mayor variabilidad y muestras pequeñas.</w:t>
      </w:r>
    </w:p>
    <w:p>
      <w:pPr>
        <w:pStyle w:val="ListParagraph"/>
        <w:spacing w:after="60"/>
        <w:ind w:left="360" w:hanging="260"/>
        <w:contextualSpacing/>
      </w:pPr>
      <w:r>
        <w:t xml:space="preserve">•  </w:t>
      </w:r>
      <w:r>
        <w:rPr>
          <w:b/>
        </w:rPr>
        <w:t xml:space="preserve">El Rombo (Efecto Combinado):</w:t>
      </w:r>
      <w:r>
        <w:t xml:space="preserve"> Se sitúa en la base del gráfico y representa la síntesis de todos los resultados. El centro del rombo es el valor puntual combinado y sus extremos marcan el IC del 95% global. Si el rombo no toca la línea de no efecto, el meta-análisis es estadísticamente significativo.</w:t>
      </w:r>
    </w:p>
    <w:p>
      <w:r>
        <w:rPr>
          <w:b/>
        </w:rPr>
        <w:t xml:space="preserve">Ejemplos Prácticos de Forest Plot:</w:t>
      </w:r>
    </w:p>
    <w:p>
      <w:pPr>
        <w:pStyle w:val="ListParagraph"/>
        <w:spacing w:after="60"/>
        <w:ind w:left="360" w:hanging="260"/>
        <w:contextualSpacing/>
      </w:pPr>
      <w:r>
        <w:t xml:space="preserve">•  </w:t>
      </w:r>
      <w:r>
        <w:rPr>
          <w:b/>
        </w:rPr>
        <w:t xml:space="preserve">Caso Estatinas:</w:t>
      </w:r>
      <w:r>
        <w:t xml:space="preserve"> Meta-análisis de 12 ECA donde el rombo muestra un RR de 0,76 (IC95%: 0,71–0,82), indicando que las estatinas reducen el riesgo de IAM en un 24% de forma significativa.</w:t>
      </w:r>
    </w:p>
    <w:p>
      <w:pPr>
        <w:pStyle w:val="ListParagraph"/>
        <w:spacing w:after="60"/>
        <w:ind w:left="360" w:hanging="260"/>
        <w:contextualSpacing/>
      </w:pPr>
      <w:r>
        <w:t xml:space="preserve">•  </w:t>
      </w:r>
      <w:r>
        <w:rPr>
          <w:b/>
        </w:rPr>
        <w:t xml:space="preserve">Actividad Física en Niños:</w:t>
      </w:r>
      <w:r>
        <w:t xml:space="preserve"> Rombo desplazado a la izquierda (valor -0,14) que no toca el cero, confirmando que la intervención reduce el índice de masa corporal (IMC) de forma efectiva.</w:t>
      </w:r>
    </w:p>
    <w:p>
      <w:pPr>
        <w:pStyle w:val="Heading2"/>
      </w:pPr>
      <w:r>
        <w:t xml:space="preserve">V. Sesgo de Publicación y Funnel Plot</w:t>
      </w:r>
    </w:p>
    <w:p>
      <w:pPr>
        <w:pStyle w:val="Heading3"/>
      </w:pPr>
      <w:r>
        <w:t xml:space="preserve">5.1 El Problema del Sesgo de Publicación</w:t>
      </w:r>
    </w:p>
    <w:p>
      <w:r>
        <w:t xml:space="preserve">Se refiere a la tendencia de las revistas científicas a publicar preferentemente estudios con resultados positivos o estadísticamente significativos, dejando en el "olvido" o cajón aquellos con resultados negativos. Esto puede generar estimaciones falsamente optimistas en el meta-análisis.</w:t>
      </w:r>
    </w:p>
    <w:p>
      <w:pPr>
        <w:pStyle w:val="Heading3"/>
      </w:pPr>
      <w:r>
        <w:t xml:space="preserve">5.2 El Funnel Plot (Gráfico de Embudo)</w:t>
      </w:r>
    </w:p>
    <w:p>
      <w:r>
        <w:t xml:space="preserve">Es el método gráfico para detectar este sesgo. Representa el tamaño del efecto en el eje horizontal frente a una medida de precisión (como el error estándar) en el eje vertical.</w:t>
      </w:r>
    </w:p>
    <w:p>
      <w:pPr>
        <w:pStyle w:val="ListParagraph"/>
        <w:spacing w:after="60"/>
        <w:ind w:left="360" w:hanging="260"/>
        <w:contextualSpacing/>
      </w:pPr>
      <w:r>
        <w:t xml:space="preserve">•  </w:t>
      </w:r>
      <w:r>
        <w:rPr>
          <w:b/>
        </w:rPr>
        <w:t xml:space="preserve">Interpretación:</w:t>
      </w:r>
      <w:r>
        <w:t xml:space="preserve"> En ausencia de sesgo, los puntos deben formar una pirámide o triángulo simétrico.</w:t>
      </w:r>
    </w:p>
    <w:p>
      <w:pPr>
        <w:pStyle w:val="ListParagraph"/>
        <w:spacing w:after="60"/>
        <w:ind w:left="360" w:hanging="260"/>
        <w:contextualSpacing/>
      </w:pPr>
      <w:r>
        <w:t xml:space="preserve">•  </w:t>
      </w:r>
      <w:r>
        <w:rPr>
          <w:b/>
        </w:rPr>
        <w:t xml:space="preserve">Asimetría:</w:t>
      </w:r>
      <w:r>
        <w:t xml:space="preserve"> Si falta un lado de la pirámide (generalmente el de los estudios pequeños con resultados negativos), existe evidencia de sesgo de publicación.</w:t>
      </w:r>
    </w:p>
    <w:p>
      <w:pPr>
        <w:pStyle w:val="Heading2"/>
      </w:pPr>
      <w:r>
        <w:t xml:space="preserve">VI. Aplicaciones Clínicas y Errores Frecuentes</w:t>
      </w:r>
    </w:p>
    <w:p>
      <w:pPr>
        <w:pStyle w:val="ListParagraph"/>
        <w:spacing w:after="60"/>
        <w:ind w:left="360" w:hanging="260"/>
        <w:contextualSpacing/>
      </w:pPr>
      <w:r>
        <w:t xml:space="preserve">•  </w:t>
      </w:r>
      <w:r>
        <w:rPr>
          <w:b/>
        </w:rPr>
        <w:t xml:space="preserve">Aplicación en GPC:</w:t>
      </w:r>
      <w:r>
        <w:t xml:space="preserve"> Los meta-análisis de alta calidad (bajo </w:t>
      </w:r>
      <m:oMath>
        <m:sSup>
          <m:e>
            <m:r>
              <m:t xml:space="preserve">I</m:t>
            </m:r>
          </m:e>
          <m:sup>
            <m:r>
              <m:t xml:space="preserve">2</m:t>
            </m:r>
          </m:sup>
        </m:sSup>
      </m:oMath>
      <w:r>
        <w:t xml:space="preserve"> y rombos significativos) permiten emitir recomendaciones de grado "Fuerte" en la práctica clínica diaria.</w:t>
      </w:r>
    </w:p>
    <w:p>
      <w:pPr>
        <w:pStyle w:val="ListParagraph"/>
        <w:spacing w:after="60"/>
        <w:ind w:left="360" w:hanging="260"/>
        <w:contextualSpacing/>
      </w:pPr>
      <w:r>
        <w:t xml:space="preserve">•  </w:t>
      </w:r>
      <w:r>
        <w:rPr>
          <w:b/>
        </w:rPr>
        <w:t xml:space="preserve">Error Conceptual Grave:</w:t>
      </w:r>
      <w:r>
        <w:t xml:space="preserve"> Ignorar la heterogeneidad estadística. Interpretar el rombo como una verdad absoluta cuando el </w:t>
      </w:r>
      <m:oMath>
        <m:sSup>
          <m:e>
            <m:r>
              <m:t xml:space="preserve">I</m:t>
            </m:r>
          </m:e>
          <m:sup>
            <m:r>
              <m:t xml:space="preserve">2</m:t>
            </m:r>
          </m:sup>
        </m:sSup>
      </m:oMath>
      <w:r>
        <w:t xml:space="preserve"> es muy alto (ej. &gt; 75%) es un error; en esos casos, el resultado combinado debe tomarse con cautela y el modelo de efectos aleatorios es obligatorio para no subestimar la variabilidad real entre poblaciones.</w:t>
      </w:r>
    </w:p>
    <w:p>
      <w:pPr>
        <w:pStyle w:val="Heading1"/>
      </w:pPr>
      <w:r>
        <w:t xml:space="preserve">TEMA 8 — Tipos de Exposición y Curvas Epidémicas</w:t>
      </w:r>
    </w:p>
    <w:p>
      <w:pPr>
        <w:pStyle w:val="Heading2"/>
      </w:pPr>
      <w:r>
        <w:t xml:space="preserve">I. Utilidad de la Curva Epidémica en la Investigación de Campo</w:t>
      </w:r>
    </w:p>
    <w:p>
      <w:pPr>
        <w:pStyle w:val="Heading3"/>
      </w:pPr>
      <w:r>
        <w:t xml:space="preserve">1.1 Definición Exacta y Terminología Técnica</w:t>
      </w:r>
    </w:p>
    <w:p>
      <w:r>
        <w:t xml:space="preserve">La curva epidémica se define como la representación gráfica del número de casos de una patología específica durante un periodo epidémico, organizados de acuerdo con su fecha de aparición o inicio de síntomas. Técnicamente, se construye como un histograma donde el eje horizontal (X) representa el tiempo y el eje vertical (Y) el número de casos.</w:t>
      </w:r>
    </w:p>
    <w:p>
      <w:pPr>
        <w:pStyle w:val="Heading3"/>
      </w:pPr>
      <w:r>
        <w:t xml:space="preserve">1.2 Explicación del Concepto y Utilidad</w:t>
      </w:r>
    </w:p>
    <w:p>
      <w:r>
        <w:t xml:space="preserve">La curva epidémica es el instrumento básico para caracterizar un brote en la dimensión del tiempo. Su análisis permite a los epidemiólogos realizar las siguientes deducciones críticas sin necesidad de esperar resultados iniciales de laboratorio:</w:t>
      </w:r>
    </w:p>
    <w:p>
      <w:pPr>
        <w:pStyle w:val="ListParagraph"/>
        <w:spacing w:after="60"/>
        <w:ind w:left="360" w:hanging="260"/>
        <w:contextualSpacing/>
      </w:pPr>
      <w:r>
        <w:t xml:space="preserve">•  </w:t>
      </w:r>
      <w:r>
        <w:rPr>
          <w:b/>
        </w:rPr>
        <w:t xml:space="preserve">Estimación del patrón de propagación:</w:t>
      </w:r>
      <w:r>
        <w:t xml:space="preserve"> Identifica si la enfermedad se transmite persona a persona o desde una fuente común.</w:t>
      </w:r>
    </w:p>
    <w:p>
      <w:pPr>
        <w:pStyle w:val="ListParagraph"/>
        <w:spacing w:after="60"/>
        <w:ind w:left="360" w:hanging="260"/>
        <w:contextualSpacing/>
      </w:pPr>
      <w:r>
        <w:t xml:space="preserve">•  </w:t>
      </w:r>
      <w:r>
        <w:rPr>
          <w:b/>
        </w:rPr>
        <w:t xml:space="preserve">Magnitud del evento:</w:t>
      </w:r>
      <w:r>
        <w:t xml:space="preserve"> Visualiza la escala del brote en términos de volumen de afectados.</w:t>
      </w:r>
    </w:p>
    <w:p>
      <w:pPr>
        <w:pStyle w:val="ListParagraph"/>
        <w:spacing w:after="60"/>
        <w:ind w:left="360" w:hanging="260"/>
        <w:contextualSpacing/>
      </w:pPr>
      <w:r>
        <w:t xml:space="preserve">•  </w:t>
      </w:r>
      <w:r>
        <w:rPr>
          <w:b/>
        </w:rPr>
        <w:t xml:space="preserve">Tendencia temporal:</w:t>
      </w:r>
      <w:r>
        <w:t xml:space="preserve"> Permite observar si el brote está en fase de crecimiento, en meseta o en declive.</w:t>
      </w:r>
    </w:p>
    <w:p>
      <w:pPr>
        <w:pStyle w:val="ListParagraph"/>
        <w:spacing w:after="60"/>
        <w:ind w:left="360" w:hanging="260"/>
        <w:contextualSpacing/>
      </w:pPr>
      <w:r>
        <w:t xml:space="preserve">•  </w:t>
      </w:r>
      <w:r>
        <w:rPr>
          <w:b/>
        </w:rPr>
        <w:t xml:space="preserve">Estimación del periodo de incubación y exposición:</w:t>
      </w:r>
      <w:r>
        <w:t xml:space="preserve"> A partir de los picos y la duración, se puede inferir la fecha probable en que la población estuvo expuesta al agente.</w:t>
      </w:r>
    </w:p>
    <w:p>
      <w:pPr>
        <w:pStyle w:val="Heading2"/>
      </w:pPr>
      <w:r>
        <w:t xml:space="preserve">II. Tipos de Exposición y Naturaleza de las Epidemias</w:t>
      </w:r>
    </w:p>
    <w:p>
      <w:r>
        <w:t xml:space="preserve">La forma de la curva revela la dinámica de la exposición. Las fuentes clasifican las epidemias según la naturaleza de su origen:</w:t>
      </w:r>
    </w:p>
    <w:p>
      <w:pPr>
        <w:pStyle w:val="Heading3"/>
      </w:pPr>
      <w:r>
        <w:t xml:space="preserve">2.1 Epidemia de Fuente Común Puntual (Explosiva)</w:t>
      </w:r>
    </w:p>
    <w:p>
      <w:pPr>
        <w:pStyle w:val="ListParagraph"/>
        <w:spacing w:after="60"/>
        <w:ind w:left="360" w:hanging="260"/>
        <w:contextualSpacing/>
      </w:pPr>
      <w:r>
        <w:t xml:space="preserve">•  </w:t>
      </w:r>
      <w:r>
        <w:rPr>
          <w:b/>
        </w:rPr>
        <w:t xml:space="preserve">Definición:</w:t>
      </w:r>
      <w:r>
        <w:t xml:space="preserve"> Es aquella donde un grupo de personas es expuesto simultáneamente a la misma fuente de infección durante un periodo de tiempo breve.</w:t>
      </w:r>
    </w:p>
    <w:p>
      <w:pPr>
        <w:pStyle w:val="ListParagraph"/>
        <w:spacing w:after="60"/>
        <w:ind w:left="360" w:hanging="260"/>
        <w:contextualSpacing/>
      </w:pPr>
      <w:r>
        <w:t xml:space="preserve">•  </w:t>
      </w:r>
      <w:r>
        <w:rPr>
          <w:b/>
        </w:rPr>
        <w:t xml:space="preserve">Patrón de la Curva:</w:t>
      </w:r>
      <w:r>
        <w:t xml:space="preserve"> Se caracteriza por un pico único y abrupto. La duración del brote suele ser equivalente a aproximadamente un periodo de incubación de la enfermedad.</w:t>
      </w:r>
    </w:p>
    <w:p>
      <w:pPr>
        <w:pStyle w:val="ListParagraph"/>
        <w:spacing w:after="60"/>
        <w:ind w:left="360" w:hanging="260"/>
        <w:contextualSpacing/>
      </w:pPr>
      <w:r>
        <w:t xml:space="preserve">•  </w:t>
      </w:r>
      <w:r>
        <w:rPr>
          <w:b/>
        </w:rPr>
        <w:t xml:space="preserve">Ejemplos Prácticos:</w:t>
      </w:r>
    </w:p>
    <w:p>
      <w:pPr>
        <w:pStyle w:val="ListParagraph"/>
        <w:spacing w:after="60"/>
        <w:ind w:left="720" w:hanging="260"/>
        <w:contextualSpacing/>
      </w:pPr>
      <w:r>
        <w:t xml:space="preserve">–  </w:t>
      </w:r>
      <w:r>
        <w:rPr>
          <w:b/>
        </w:rPr>
        <w:t xml:space="preserve">Intoxicación alimentaria en un banquete:</w:t>
      </w:r>
      <w:r>
        <w:t xml:space="preserve"> Varias personas ingieren un alimento contaminado en un evento específico (ej. arroz con pollo) y desarrollan síntomas casi al mismo tiempo.</w:t>
      </w:r>
    </w:p>
    <w:p>
      <w:pPr>
        <w:pStyle w:val="ListParagraph"/>
        <w:spacing w:after="60"/>
        <w:ind w:left="720" w:hanging="260"/>
        <w:contextualSpacing/>
      </w:pPr>
      <w:r>
        <w:t xml:space="preserve">–  </w:t>
      </w:r>
      <w:r>
        <w:t xml:space="preserve">Exposición radiológica puntual o un lote de vacunas contaminado.</w:t>
      </w:r>
    </w:p>
    <w:p>
      <w:pPr>
        <w:pStyle w:val="ListParagraph"/>
        <w:spacing w:after="60"/>
        <w:ind w:left="360" w:hanging="260"/>
        <w:contextualSpacing/>
      </w:pPr>
      <w:r>
        <w:t xml:space="preserve">•  </w:t>
      </w:r>
      <w:r>
        <w:rPr>
          <w:b/>
        </w:rPr>
        <w:t xml:space="preserve">Aplicación Clínica:</w:t>
      </w:r>
      <w:r>
        <w:t xml:space="preserve"> Si el médico observa este patrón, debe buscar un vehículo de exposición única y limitada en el tiempo.</w:t>
      </w:r>
    </w:p>
    <w:p>
      <w:pPr>
        <w:pStyle w:val="Heading3"/>
      </w:pPr>
      <w:r>
        <w:t xml:space="preserve">2.2 Epidemia de Fuente Común Continua</w:t>
      </w:r>
    </w:p>
    <w:p>
      <w:pPr>
        <w:pStyle w:val="ListParagraph"/>
        <w:spacing w:after="60"/>
        <w:ind w:left="360" w:hanging="260"/>
        <w:contextualSpacing/>
      </w:pPr>
      <w:r>
        <w:t xml:space="preserve">•  </w:t>
      </w:r>
      <w:r>
        <w:rPr>
          <w:b/>
        </w:rPr>
        <w:t xml:space="preserve">Definición:</w:t>
      </w:r>
      <w:r>
        <w:t xml:space="preserve"> Ocurre cuando la exposición a la misma fuente de infección se prolonga en el tiempo de manera ininterrumpida.</w:t>
      </w:r>
    </w:p>
    <w:p>
      <w:pPr>
        <w:pStyle w:val="ListParagraph"/>
        <w:spacing w:after="60"/>
        <w:ind w:left="360" w:hanging="260"/>
        <w:contextualSpacing/>
      </w:pPr>
      <w:r>
        <w:t xml:space="preserve">•  </w:t>
      </w:r>
      <w:r>
        <w:rPr>
          <w:b/>
        </w:rPr>
        <w:t xml:space="preserve">Patrón de la Curva:</w:t>
      </w:r>
      <w:r>
        <w:t xml:space="preserve"> No presenta un pico súbito, sino una meseta sostenida de casos que solo cesa cuando se logra controlar o eliminar la fuente.</w:t>
      </w:r>
    </w:p>
    <w:p>
      <w:pPr>
        <w:pStyle w:val="ListParagraph"/>
        <w:spacing w:after="60"/>
        <w:ind w:left="360" w:hanging="260"/>
        <w:contextualSpacing/>
      </w:pPr>
      <w:r>
        <w:t xml:space="preserve">•  </w:t>
      </w:r>
      <w:r>
        <w:rPr>
          <w:b/>
        </w:rPr>
        <w:t xml:space="preserve">Ejemplos Prácticos:</w:t>
      </w:r>
    </w:p>
    <w:p>
      <w:pPr>
        <w:pStyle w:val="ListParagraph"/>
        <w:spacing w:after="60"/>
        <w:ind w:left="720" w:hanging="260"/>
        <w:contextualSpacing/>
      </w:pPr>
      <w:r>
        <w:t xml:space="preserve">–  </w:t>
      </w:r>
      <w:r>
        <w:rPr>
          <w:b/>
        </w:rPr>
        <w:t xml:space="preserve">John Snow y el cólera:</w:t>
      </w:r>
      <w:r>
        <w:t xml:space="preserve"> En Londres, una bomba de agua (fuente común) contaminada con heces suministraba agua continuamente a la población, generando casos persistentes hasta que se retiró la manija de la bomba.</w:t>
      </w:r>
    </w:p>
    <w:p>
      <w:pPr>
        <w:pStyle w:val="ListParagraph"/>
        <w:spacing w:after="60"/>
        <w:ind w:left="720" w:hanging="260"/>
        <w:contextualSpacing/>
      </w:pPr>
      <w:r>
        <w:t xml:space="preserve">–  </w:t>
      </w:r>
      <w:r>
        <w:t xml:space="preserve">Sistemas de climatización contaminados con Legionella.</w:t>
      </w:r>
    </w:p>
    <w:p>
      <w:pPr>
        <w:pStyle w:val="Heading3"/>
      </w:pPr>
      <w:r>
        <w:t xml:space="preserve">2.3 Epidemia de Fuente Común Intermitente</w:t>
      </w:r>
    </w:p>
    <w:p>
      <w:pPr>
        <w:pStyle w:val="ListParagraph"/>
        <w:spacing w:after="60"/>
        <w:ind w:left="360" w:hanging="260"/>
        <w:contextualSpacing/>
      </w:pPr>
      <w:r>
        <w:t xml:space="preserve">•  </w:t>
      </w:r>
      <w:r>
        <w:rPr>
          <w:b/>
        </w:rPr>
        <w:t xml:space="preserve">Definición:</w:t>
      </w:r>
      <w:r>
        <w:t xml:space="preserve"> Es una variante de la fuente común donde la duración de la exposición se prolonga pero no es constante, sino que aparece y desaparece periódicamente.</w:t>
      </w:r>
    </w:p>
    <w:p>
      <w:pPr>
        <w:pStyle w:val="ListParagraph"/>
        <w:spacing w:after="60"/>
        <w:ind w:left="360" w:hanging="260"/>
        <w:contextualSpacing/>
      </w:pPr>
      <w:r>
        <w:t xml:space="preserve">•  </w:t>
      </w:r>
      <w:r>
        <w:rPr>
          <w:b/>
        </w:rPr>
        <w:t xml:space="preserve">Patrón de la Curva:</w:t>
      </w:r>
      <w:r>
        <w:t xml:space="preserve"> Se observan picos múltiples e irregulares que no necesariamente regresan a cero entre ellos, reflejando momentos de mayor y menor contaminación de la fuente.</w:t>
      </w:r>
    </w:p>
    <w:p>
      <w:pPr>
        <w:pStyle w:val="ListParagraph"/>
        <w:spacing w:after="60"/>
        <w:ind w:left="360" w:hanging="260"/>
        <w:contextualSpacing/>
      </w:pPr>
      <w:r>
        <w:t xml:space="preserve">•  </w:t>
      </w:r>
      <w:r>
        <w:rPr>
          <w:b/>
        </w:rPr>
        <w:t xml:space="preserve">Ejemplo Práctico:</w:t>
      </w:r>
      <w:r>
        <w:t xml:space="preserve"> Redes de abastecimiento de agua con filtraciones intermitentes de contaminantes fecales que dependen de factores externos como la presión del agua o lluvias.</w:t>
      </w:r>
    </w:p>
    <w:p>
      <w:pPr>
        <w:pStyle w:val="Heading3"/>
      </w:pPr>
      <w:r>
        <w:t xml:space="preserve">2.4 Epidemia Propagada (Persona a Persona)</w:t>
      </w:r>
    </w:p>
    <w:p>
      <w:pPr>
        <w:pStyle w:val="ListParagraph"/>
        <w:spacing w:after="60"/>
        <w:ind w:left="360" w:hanging="260"/>
        <w:contextualSpacing/>
      </w:pPr>
      <w:r>
        <w:t xml:space="preserve">•  </w:t>
      </w:r>
      <w:r>
        <w:rPr>
          <w:b/>
        </w:rPr>
        <w:t xml:space="preserve">Definición:</w:t>
      </w:r>
      <w:r>
        <w:t xml:space="preserve"> Aquella donde el agente infeccioso se transmite directamente de un individuo a otro (o a través de un vector de forma sucesiva).</w:t>
      </w:r>
    </w:p>
    <w:p>
      <w:pPr>
        <w:pStyle w:val="ListParagraph"/>
        <w:spacing w:after="60"/>
        <w:ind w:left="360" w:hanging="260"/>
        <w:contextualSpacing/>
      </w:pPr>
      <w:r>
        <w:t xml:space="preserve">•  </w:t>
      </w:r>
      <w:r>
        <w:rPr>
          <w:b/>
        </w:rPr>
        <w:t xml:space="preserve">Patrón de la Curva:</w:t>
      </w:r>
      <w:r>
        <w:t xml:space="preserve"> Presenta picos sucesivos que están separados entre sí por aproximadamente un periodo de incubación de la enfermedad. El crecimiento suele ser exponencial al inicio.</w:t>
      </w:r>
    </w:p>
    <w:p>
      <w:pPr>
        <w:pStyle w:val="ListParagraph"/>
        <w:spacing w:after="60"/>
        <w:ind w:left="360" w:hanging="260"/>
        <w:contextualSpacing/>
      </w:pPr>
      <w:r>
        <w:t xml:space="preserve">•  </w:t>
      </w:r>
      <w:r>
        <w:rPr>
          <w:b/>
        </w:rPr>
        <w:t xml:space="preserve">Ejemplos Prácticos:</w:t>
      </w:r>
    </w:p>
    <w:p>
      <w:pPr>
        <w:pStyle w:val="ListParagraph"/>
        <w:spacing w:after="60"/>
        <w:ind w:left="720" w:hanging="260"/>
        <w:contextualSpacing/>
      </w:pPr>
      <w:r>
        <w:t xml:space="preserve">–  </w:t>
      </w:r>
      <w:r>
        <w:rPr>
          <w:b/>
        </w:rPr>
        <w:t xml:space="preserve">COVID-19:</w:t>
      </w:r>
      <w:r>
        <w:t xml:space="preserve"> Transmisión respiratoria masiva con picos que representan las diferentes "olas" de contagio.</w:t>
      </w:r>
    </w:p>
    <w:p>
      <w:pPr>
        <w:pStyle w:val="ListParagraph"/>
        <w:spacing w:after="60"/>
        <w:ind w:left="720" w:hanging="260"/>
        <w:contextualSpacing/>
      </w:pPr>
      <w:r>
        <w:t xml:space="preserve">–  </w:t>
      </w:r>
      <w:r>
        <w:rPr>
          <w:b/>
        </w:rPr>
        <w:t xml:space="preserve">Sarampión y Varicela:</w:t>
      </w:r>
      <w:r>
        <w:t xml:space="preserve"> Brotes en entornos escolares donde un niño infecta a sus compañeros de fila, y estos a su vez a otros tras pasar el periodo de incubación.</w:t>
      </w:r>
    </w:p>
    <w:p>
      <w:pPr>
        <w:pStyle w:val="ListParagraph"/>
        <w:spacing w:after="60"/>
        <w:ind w:left="360" w:hanging="260"/>
        <w:contextualSpacing/>
      </w:pPr>
      <w:r>
        <w:t xml:space="preserve">•  </w:t>
      </w:r>
      <w:r>
        <w:rPr>
          <w:b/>
        </w:rPr>
        <w:t xml:space="preserve">Aplicación Clínica:</w:t>
      </w:r>
      <w:r>
        <w:t xml:space="preserve"> Permite predecir la aparición de nuevos casos (oleadas) y establecer medidas de aislamiento para cortar la cadena de transmisión.</w:t>
      </w:r>
    </w:p>
    <w:p>
      <w:pPr>
        <w:pStyle w:val="Heading2"/>
      </w:pPr>
      <w:r>
        <w:t xml:space="preserve">III. Inmunidad de Rebaño (Colectiva) y Número Básico de Reproducción (</w:t>
      </w:r>
      <m:oMath>
        <m:sSub>
          <m:e>
            <m:r>
              <m:t xml:space="preserve">R</m:t>
            </m:r>
          </m:e>
          <m:sub>
            <m:r>
              <m:t xml:space="preserve">0</m:t>
            </m:r>
          </m:sub>
        </m:sSub>
      </m:oMath>
      <w:r>
        <w:t xml:space="preserve">)</w:t>
      </w:r>
    </w:p>
    <w:p>
      <w:pPr>
        <w:pStyle w:val="Heading3"/>
      </w:pPr>
      <w:r>
        <w:t xml:space="preserve">3.1 El Número Básico de Reproducción (</w:t>
      </w:r>
      <m:oMath>
        <m:sSub>
          <m:e>
            <m:r>
              <m:t xml:space="preserve">R</m:t>
            </m:r>
          </m:e>
          <m:sub>
            <m:r>
              <m:t xml:space="preserve">0</m:t>
            </m:r>
          </m:sub>
        </m:sSub>
      </m:oMath>
      <w:r>
        <w:t xml:space="preserve">)</w:t>
      </w:r>
    </w:p>
    <w:p>
      <w:pPr>
        <w:pStyle w:val="ListParagraph"/>
        <w:spacing w:after="60"/>
        <w:ind w:left="360" w:hanging="260"/>
        <w:contextualSpacing/>
      </w:pPr>
      <w:r>
        <w:t xml:space="preserve">•  </w:t>
      </w:r>
      <w:r>
        <w:rPr>
          <w:b/>
        </w:rPr>
        <w:t xml:space="preserve">Definición:</w:t>
      </w:r>
      <w:r>
        <w:t xml:space="preserve"> Es el promedio de casos secundarios que un solo caso primario es capaz de generar en una población totalmente susceptible.</w:t>
      </w:r>
    </w:p>
    <w:p>
      <w:pPr>
        <w:pStyle w:val="ListParagraph"/>
        <w:spacing w:after="60"/>
        <w:ind w:left="360" w:hanging="260"/>
        <w:contextualSpacing/>
      </w:pPr>
      <w:r>
        <w:t xml:space="preserve">•  </w:t>
      </w:r>
      <w:r>
        <w:rPr>
          <w:b/>
        </w:rPr>
        <w:t xml:space="preserve">Significado Epidemiológico:</w:t>
      </w:r>
      <w:r>
        <w:t xml:space="preserve"> Si el </w:t>
      </w:r>
      <m:oMath>
        <m:sSub>
          <m:e>
            <m:r>
              <m:t xml:space="preserve">R</m:t>
            </m:r>
          </m:e>
          <m:sub>
            <m:r>
              <m:t xml:space="preserve">0</m:t>
            </m:r>
          </m:sub>
        </m:sSub>
        <m:r>
          <m:t xml:space="preserve"> &gt; 1</m:t>
        </m:r>
      </m:oMath>
      <w:r>
        <w:t xml:space="preserve">, la enfermedad tiene potencial epidémico; si es </w:t>
      </w:r>
      <m:oMath>
        <m:r>
          <m:t xml:space="preserve">&lt; 1</m:t>
        </m:r>
      </m:oMath>
      <w:r>
        <w:t xml:space="preserve">, la enfermedad tenderá a desaparecer.</w:t>
      </w:r>
    </w:p>
    <w:p>
      <w:pPr>
        <w:pStyle w:val="Heading3"/>
      </w:pPr>
      <w:r>
        <w:t xml:space="preserve">3.2 Inmunidad de Rebaño (HIT)</w:t>
      </w:r>
    </w:p>
    <w:p>
      <w:pPr>
        <w:pStyle w:val="ListParagraph"/>
        <w:spacing w:after="60"/>
        <w:ind w:left="360" w:hanging="260"/>
        <w:contextualSpacing/>
      </w:pPr>
      <w:r>
        <w:t xml:space="preserve">•  </w:t>
      </w:r>
      <w:r>
        <w:rPr>
          <w:b/>
        </w:rPr>
        <w:t xml:space="preserve">Definición:</w:t>
      </w:r>
      <w:r>
        <w:t xml:space="preserve"> Es el estado en el cual una proporción suficiente de la población es inmune (por vacunación o infección previa), lo que interrumpe la cadena de transmisión y protege indirectamente a los individuos que aún son susceptibles.</w:t>
      </w:r>
    </w:p>
    <w:p>
      <w:pPr>
        <w:pStyle w:val="ListParagraph"/>
        <w:spacing w:after="60"/>
        <w:ind w:left="360" w:hanging="260"/>
        <w:contextualSpacing/>
      </w:pPr>
      <w:r>
        <w:t xml:space="preserve">•  </w:t>
      </w:r>
      <w:r>
        <w:rPr>
          <w:b/>
        </w:rPr>
        <w:t xml:space="preserve">Mecanismo:</w:t>
      </w:r>
      <w:r>
        <w:t xml:space="preserve"> Las personas inmunes actúan como una "barrera" que evita que el agente llegue a los susceptibles.</w:t>
      </w:r>
    </w:p>
    <w:p>
      <w:pPr>
        <w:pStyle w:val="Heading3"/>
      </w:pPr>
      <w:r>
        <w:t xml:space="preserve">3.3 Cálculo del Umbral de Inmunidad Colectiva (HIT) 🧮</w:t>
      </w:r>
    </w:p>
    <w:p>
      <w:r>
        <w:t xml:space="preserve">El umbral crítico que se debe alcanzar para detener la propagación se calcula con la siguiente fórmula:</w:t>
      </w:r>
    </w:p>
    <w:p>
      <w:pPr>
        <w:jc w:val="center"/>
        <w:spacing w:before="120" w:after="120"/>
      </w:pPr>
      <m:oMathPara>
        <m:oMath>
          <m:r>
            <m:t xml:space="preserve">HIT = 1 - </m:t>
          </m:r>
          <m:d>
            <m:dPr>
              <m:begChr m:val="("/>
              <m:endChr m:val=")"/>
            </m:dPr>
            <m:e>
              <m:r>
                <m:t xml:space="preserve"> </m:t>
              </m:r>
              <m:f>
                <m:num>
                  <m:r>
                    <m:t xml:space="preserve">1</m:t>
                  </m:r>
                </m:num>
                <m:den>
                  <m:sSub>
                    <m:e>
                      <m:r>
                        <m:t xml:space="preserve">R</m:t>
                      </m:r>
                    </m:e>
                    <m:sub>
                      <m:r>
                        <m:t xml:space="preserve">0</m:t>
                      </m:r>
                    </m:sub>
                  </m:sSub>
                </m:den>
              </m:f>
              <m:r>
                <m:t xml:space="preserve"> </m:t>
              </m:r>
            </m:e>
          </m:d>
        </m:oMath>
      </m:oMathPara>
    </w:p>
    <w:p>
      <w:r>
        <w:rPr>
          <w:b/>
        </w:rPr>
        <w:t xml:space="preserve">Variables:</w:t>
      </w:r>
    </w:p>
    <w:p>
      <w:pPr>
        <w:pStyle w:val="ListParagraph"/>
        <w:spacing w:after="60"/>
        <w:ind w:left="360" w:hanging="260"/>
        <w:contextualSpacing/>
      </w:pPr>
      <w:r>
        <w:t xml:space="preserve">•  </w:t>
      </w:r>
      <w:r>
        <w:rPr>
          <w:b/>
        </w:rPr>
        <w:t xml:space="preserve">HIT:</w:t>
      </w:r>
      <w:r>
        <w:t xml:space="preserve"> Herd Immunity Threshold (Umbral de Inmunidad Colectiva). Se expresa en decimal o porcentaje (al multiplicar por 100).</w:t>
      </w:r>
    </w:p>
    <w:p>
      <w:pPr>
        <w:pStyle w:val="ListParagraph"/>
        <w:spacing w:after="60"/>
        <w:ind w:left="360" w:hanging="260"/>
        <w:contextualSpacing/>
      </w:pPr>
      <w:r>
        <w:t xml:space="preserve">•  </w:t>
      </w:r>
      <m:oMath>
        <m:sSub>
          <m:e>
            <m:r>
              <m:t xml:space="preserve">R</m:t>
            </m:r>
          </m:e>
          <m:sub>
            <m:r>
              <m:t xml:space="preserve">0</m:t>
            </m:r>
          </m:sub>
        </m:sSub>
      </m:oMath>
      <w:r>
        <w:t xml:space="preserve">: Número básico de reproducción específico de la enfermedad.</w:t>
      </w:r>
    </w:p>
    <w:p>
      <w:r>
        <w:rPr>
          <w:b/>
        </w:rPr>
        <w:t xml:space="preserve">Ejemplo Numérico Resuelto (Sarampión):</w:t>
      </w:r>
      <w:r>
        <w:t xml:space="preserve"> El sarampión es una de las enfermedades más contagiosas con un </w:t>
      </w:r>
      <m:oMath>
        <m:sSub>
          <m:e>
            <m:r>
              <m:t xml:space="preserve">R</m:t>
            </m:r>
          </m:e>
          <m:sub>
            <m:r>
              <m:t xml:space="preserve">0</m:t>
            </m:r>
          </m:sub>
        </m:sSub>
      </m:oMath>
      <w:r>
        <w:t xml:space="preserve"> estimado de 15.</w:t>
      </w:r>
    </w:p>
    <w:p>
      <w:pPr>
        <w:pStyle w:val="ListParagraph"/>
        <w:spacing w:after="60"/>
        <w:ind w:left="360" w:hanging="260"/>
        <w:contextualSpacing/>
      </w:pPr>
      <w:r>
        <w:t xml:space="preserve">•  </w:t>
      </w:r>
      <w:r>
        <w:rPr>
          <w:b/>
        </w:rPr>
        <w:t xml:space="preserve">Paso 1:</w:t>
      </w:r>
      <w:r>
        <w:t xml:space="preserve"> Sustituir en la fórmula: </w:t>
      </w:r>
      <m:oMath>
        <m:r>
          <m:t xml:space="preserve">HIT = 1 - (1 / 15)</m:t>
        </m:r>
      </m:oMath>
      <w:r>
        <w:t xml:space="preserve">.</w:t>
      </w:r>
    </w:p>
    <w:p>
      <w:pPr>
        <w:pStyle w:val="ListParagraph"/>
        <w:spacing w:after="60"/>
        <w:ind w:left="360" w:hanging="260"/>
        <w:contextualSpacing/>
      </w:pPr>
      <w:r>
        <w:t xml:space="preserve">•  </w:t>
      </w:r>
      <w:r>
        <w:rPr>
          <w:b/>
        </w:rPr>
        <w:t xml:space="preserve">Paso 2:</w:t>
      </w:r>
      <w:r>
        <w:t xml:space="preserve"> Operar: </w:t>
      </w:r>
      <m:oMath>
        <m:r>
          <m:t xml:space="preserve">HIT = 1 - 0,066 = 0,933</m:t>
        </m:r>
      </m:oMath>
      <w:r>
        <w:t xml:space="preserve">.</w:t>
      </w:r>
    </w:p>
    <w:p>
      <w:pPr>
        <w:pStyle w:val="ListParagraph"/>
        <w:spacing w:after="60"/>
        <w:ind w:left="360" w:hanging="260"/>
        <w:contextualSpacing/>
      </w:pPr>
      <w:r>
        <w:t xml:space="preserve">•  </w:t>
      </w:r>
      <w:r>
        <w:rPr>
          <w:b/>
        </w:rPr>
        <w:t xml:space="preserve">Resultado:</w:t>
      </w:r>
      <w:r>
        <w:t xml:space="preserve"> </w:t>
      </w:r>
      <m:oMath>
        <m:r>
          <m:t xml:space="preserve">93,3%</m:t>
        </m:r>
      </m:oMath>
      <w:r>
        <w:t xml:space="preserve">.</w:t>
      </w:r>
    </w:p>
    <w:p>
      <w:r>
        <w:rPr>
          <w:b/>
        </w:rPr>
        <w:t xml:space="preserve">Interpretación:</w:t>
      </w:r>
      <w:r>
        <w:t xml:space="preserve"> Para erradicar el sarampión de una comunidad, al menos el 94% de la población debe estar correctamente vacunada. Si la cobertura es menor (ej. 87%), el virus puede circular ante cualquier introducción.</w:t>
      </w:r>
    </w:p>
    <w:p>
      <w:pPr>
        <w:pStyle w:val="Heading3"/>
      </w:pPr>
      <w:r>
        <w:t xml:space="preserve">3.4 Umbrales por Enfermedad (Datos de las Fuentes)</w:t>
      </w:r>
    </w:p>
    <w:p>
      <w:pPr>
        <w:pStyle w:val="ListParagraph"/>
        <w:spacing w:after="60"/>
        <w:ind w:left="360" w:hanging="260"/>
        <w:contextualSpacing/>
      </w:pPr>
      <w:r>
        <w:t xml:space="preserve">•  </w:t>
      </w:r>
      <w:r>
        <w:rPr>
          <w:b/>
        </w:rPr>
        <w:t xml:space="preserve">Poliomielitis (</w:t>
      </w:r>
      <m:oMath>
        <m:sSub>
          <m:e>
            <m:r>
              <m:t xml:space="preserve">R</m:t>
            </m:r>
          </m:e>
          <m:sub>
            <m:r>
              <m:t xml:space="preserve">0</m:t>
            </m:r>
          </m:sub>
        </m:sSub>
      </m:oMath>
      <w:r>
        <w:rPr>
          <w:b/>
        </w:rPr>
        <w:t xml:space="preserve"> 5-7):</w:t>
      </w:r>
      <w:r>
        <w:t xml:space="preserve"> Requiere un HIT del 80-86%.</w:t>
      </w:r>
    </w:p>
    <w:p>
      <w:pPr>
        <w:pStyle w:val="ListParagraph"/>
        <w:spacing w:after="60"/>
        <w:ind w:left="360" w:hanging="260"/>
        <w:contextualSpacing/>
      </w:pPr>
      <w:r>
        <w:t xml:space="preserve">•  </w:t>
      </w:r>
      <w:r>
        <w:rPr>
          <w:b/>
        </w:rPr>
        <w:t xml:space="preserve">COVID-19 (Cepa Wuhan, </w:t>
      </w:r>
      <m:oMath>
        <m:sSub>
          <m:e>
            <m:r>
              <m:t xml:space="preserve">R</m:t>
            </m:r>
          </m:e>
          <m:sub>
            <m:r>
              <m:t xml:space="preserve">0</m:t>
            </m:r>
          </m:sub>
        </m:sSub>
      </m:oMath>
      <w:r>
        <w:rPr>
          <w:b/>
        </w:rPr>
        <w:t xml:space="preserve"> 2-3):</w:t>
      </w:r>
      <w:r>
        <w:t xml:space="preserve"> Requiere un HIT del 50-67%. Nota: Variantes como Ómicrom con </w:t>
      </w:r>
      <m:oMath>
        <m:sSub>
          <m:e>
            <m:r>
              <m:t xml:space="preserve">R</m:t>
            </m:r>
          </m:e>
          <m:sub>
            <m:r>
              <m:t xml:space="preserve">0</m:t>
            </m:r>
          </m:sub>
        </m:sSub>
      </m:oMath>
      <w:r>
        <w:t xml:space="preserve"> de 10-15 elevan el HIT al 90%.</w:t>
      </w:r>
    </w:p>
    <w:p>
      <w:pPr>
        <w:pStyle w:val="ListParagraph"/>
        <w:spacing w:after="60"/>
        <w:ind w:left="360" w:hanging="260"/>
        <w:contextualSpacing/>
      </w:pPr>
      <w:r>
        <w:t xml:space="preserve">•  </w:t>
      </w:r>
      <w:r>
        <w:rPr>
          <w:b/>
        </w:rPr>
        <w:t xml:space="preserve">Influenza Estacional (</w:t>
      </w:r>
      <m:oMath>
        <m:sSub>
          <m:e>
            <m:r>
              <m:t xml:space="preserve">R</m:t>
            </m:r>
          </m:e>
          <m:sub>
            <m:r>
              <m:t xml:space="preserve">0</m:t>
            </m:r>
          </m:sub>
        </m:sSub>
      </m:oMath>
      <w:r>
        <w:rPr>
          <w:b/>
        </w:rPr>
        <w:t xml:space="preserve"> 2-3):</w:t>
      </w:r>
      <w:r>
        <w:t xml:space="preserve"> Requiere un HIT del 50-67%.</w:t>
      </w:r>
    </w:p>
    <w:p>
      <w:pPr>
        <w:pStyle w:val="Heading2"/>
      </w:pPr>
      <w:r>
        <w:t xml:space="preserve">IV. Aplicaciones Epidemiológicas Relevantes</w:t>
      </w:r>
    </w:p>
    <w:p>
      <w:pPr>
        <w:pStyle w:val="ListParagraph"/>
        <w:spacing w:after="60"/>
        <w:ind w:left="360" w:hanging="260"/>
        <w:contextualSpacing/>
      </w:pPr>
      <w:r>
        <w:t xml:space="preserve">•  </w:t>
      </w:r>
      <w:r>
        <w:rPr>
          <w:b/>
        </w:rPr>
        <w:t xml:space="preserve">Estimación del Periodo de Incubación:</w:t>
      </w:r>
      <w:r>
        <w:t xml:space="preserve"> Al observar el tiempo transcurrido entre el inicio de la curva y el pico máximo en una exposición puntual, se puede identificar el agente causal probable (ej. si los síntomas aparecen a las 2-4 horas, se sospecha de toxina estafilocócica; si es a los 3-5 días, se sospecha de agentes bacterianos o virales específicos).</w:t>
      </w:r>
    </w:p>
    <w:p>
      <w:pPr>
        <w:pStyle w:val="ListParagraph"/>
        <w:spacing w:after="60"/>
        <w:ind w:left="360" w:hanging="260"/>
        <w:contextualSpacing/>
      </w:pPr>
      <w:r>
        <w:t xml:space="preserve">•  </w:t>
      </w:r>
      <w:r>
        <w:rPr>
          <w:b/>
        </w:rPr>
        <w:t xml:space="preserve">Evaluación de Medidas de Control:</w:t>
      </w:r>
      <w:r>
        <w:t xml:space="preserve"> Una intervención exitosa (ej. cloración del agua o vacunación de bloqueo) debe reflejarse en un descenso sostenido de la curva por debajo de la línea de control. El brote se considera contenido si no aparecen nuevos casos durante dos periodos de incubación de la enfermedad.</w:t>
      </w:r>
    </w:p>
    <w:sectPr>
      <w:pgSz w:w="11906" w:h="16838"/>
      <w:pgMar w:top="1418" w:right="1418" w:bottom="1418" w:left="1418" w:header="708" w:footer="708" w:gutter="0"/>
      <w:cols w:space="708"/>
      <w:docGrid w:linePitch="360"/>
    </w:sectPr>
  </w:body>
</w:document>
</file>

<file path=word/settings.xml><?xml version="1.0" encoding="utf-8"?>
<w:settings xmlns:w="http://schemas.openxmlformats.org/wordprocessingml/2006/main" xmlns:m="http://schemas.openxmlformats.org/officeDocument/2006/math">
  <w:zoom w:percent="100"/>
  <w:defaultTabStop w:val="708"/>
  <w:characterSpacingControl w:val="doNotCompress"/>
  <m:mathPr>
    <m:mathFont m:val="Cambria Math"/>
    <m:brkBin m:val="before"/>
    <m:brkBinSub m:val="--"/>
    <m:smallFrac m:val="0"/>
    <m:dispDef/>
    <m:lMargin m:val="0"/>
    <m:rMargin m:val="0"/>
    <m:defJc m:val="centerGroup"/>
    <m:wrapIndent m:val="1440"/>
    <m:intLim m:val="subSup"/>
    <m:naryLim m:val="undOvr"/>
  </m:mathPr>
</w:settings>
</file>

<file path=word/styles.xml><?xml version="1.0" encoding="utf-8"?>
<w:styles xmlns:w="http://schemas.openxmlformats.org/wordprocessingml/2006/main">
  <w:docDefaults>
    <w:rPrDefault>
      <w:rPr>
        <w:rFonts w:ascii="Calibri" w:hAnsi="Calibri" w:cs="Calibri"/>
        <w:sz w:val="22"/>
        <w:szCs w:val="22"/>
        <w:lang w:val="es-ES"/>
      </w:rPr>
    </w:rPrDefault>
    <w:pPrDefault>
      <w:pPr>
        <w:spacing w:after="160" w:line="276" w:lineRule="auto"/>
      </w:pPr>
    </w:pPrDefault>
  </w:docDefaults>
  <w:style w:type="paragraph" w:default="1" w:styleId="Normal">
    <w:name w:val="Normal"/>
    <w:qFormat/>
    <w:pPr>
      <w:jc w:val="both"/>
    </w:pPr>
  </w:style>
  <w:style w:type="paragraph" w:styleId="Title">
    <w:name w:val="Title"/>
    <w:basedOn w:val="Normal"/>
    <w:qFormat/>
    <w:pPr>
      <w:spacing w:before="0" w:after="120" w:line="240" w:lineRule="auto"/>
      <w:jc w:val="center"/>
    </w:pPr>
    <w:rPr>
      <w:rFonts w:ascii="Cambria" w:hAnsi="Cambria"/>
      <w:b/>
      <w:color w:val="1F3864"/>
      <w:sz w:val="64"/>
      <w:szCs w:val="64"/>
    </w:rPr>
  </w:style>
  <w:style w:type="paragraph" w:styleId="Subtitle">
    <w:name w:val="Subtitle"/>
    <w:basedOn w:val="Normal"/>
    <w:qFormat/>
    <w:pPr>
      <w:spacing w:before="0" w:after="80" w:line="240" w:lineRule="auto"/>
      <w:jc w:val="center"/>
    </w:pPr>
    <w:rPr>
      <w:rFonts w:ascii="Calibri" w:hAnsi="Calibri"/>
      <w:color w:val="2E74B5"/>
      <w:sz w:val="30"/>
      <w:szCs w:val="30"/>
    </w:rPr>
  </w:style>
  <w:style w:type="paragraph" w:styleId="Heading1">
    <w:name w:val="heading 1"/>
    <w:basedOn w:val="Normal"/>
    <w:next w:val="Normal"/>
    <w:qFormat/>
    <w:pPr>
      <w:keepNext/>
      <w:spacing w:before="360" w:after="120" w:line="240" w:lineRule="auto"/>
      <w:jc w:val="left"/>
      <w:pBdr>
        <w:bottom w:val="single" w:sz="12" w:space="4" w:color="2E74B5"/>
      </w:pBdr>
      <w:outlineLvl w:val="0"/>
    </w:pPr>
    <w:rPr>
      <w:rFonts w:ascii="Cambria" w:hAnsi="Cambria"/>
      <w:b/>
      <w:color w:val="1F3864"/>
      <w:sz w:val="34"/>
      <w:szCs w:val="34"/>
    </w:rPr>
  </w:style>
  <w:style w:type="paragraph" w:styleId="Heading2">
    <w:name w:val="heading 2"/>
    <w:basedOn w:val="Normal"/>
    <w:next w:val="Normal"/>
    <w:qFormat/>
    <w:pPr>
      <w:keepNext/>
      <w:spacing w:before="240" w:after="80" w:line="240" w:lineRule="auto"/>
      <w:jc w:val="left"/>
      <w:outlineLvl w:val="1"/>
    </w:pPr>
    <w:rPr>
      <w:rFonts w:ascii="Cambria" w:hAnsi="Cambria"/>
      <w:b/>
      <w:color w:val="2E74B5"/>
      <w:sz w:val="27"/>
      <w:szCs w:val="27"/>
    </w:rPr>
  </w:style>
  <w:style w:type="paragraph" w:styleId="Heading3">
    <w:name w:val="heading 3"/>
    <w:basedOn w:val="Normal"/>
    <w:next w:val="Normal"/>
    <w:qFormat/>
    <w:pPr>
      <w:keepNext/>
      <w:spacing w:before="180" w:after="60" w:line="240" w:lineRule="auto"/>
      <w:jc w:val="left"/>
      <w:outlineLvl w:val="2"/>
    </w:pPr>
    <w:rPr>
      <w:rFonts w:ascii="Calibri" w:hAnsi="Calibri"/>
      <w:b/>
      <w:color w:val="1F4E79"/>
      <w:sz w:val="24"/>
      <w:szCs w:val="24"/>
    </w:rPr>
  </w:style>
  <w:style w:type="paragraph" w:styleId="ListParagraph">
    <w:name w:val="List Paragraph"/>
    <w:basedOn w:val="Normal"/>
    <w:qFormat/>
    <w:pPr>
      <w:jc w:val="left"/>
    </w:pPr>
  </w:style>
  <w:style w:type="table" w:styleId="GridTable">
    <w:name w:val="Grid Table"/>
    <w:tblPr>
      <w:tblBorders>
        <w:top w:val="single" w:sz="4" w:color="9DB7D5"/>
        <w:left w:val="single" w:sz="4" w:color="9DB7D5"/>
        <w:bottom w:val="single" w:sz="4" w:color="9DB7D5"/>
        <w:right w:val="single" w:sz="4" w:color="9DB7D5"/>
        <w:insideH w:val="single" w:sz="4" w:color="D6E0EE"/>
        <w:insideV w:val="single" w:sz="4" w:color="D6E0EE"/>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Kiro Document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Epidemiología Clínica y Salud Pública</dc:title>
  <dc:creator/>
  <cp:lastModifiedBy/>
  <dcterms:created xsi:type="dcterms:W3CDTF">2026-06-14T21:34:07Z</dcterms:created>
  <dcterms:modified xsi:type="dcterms:W3CDTF">2026-06-14T21:34:07Z</dcterms:modified>
</cp:coreProperties>
</file>