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DocTitle"/>
        <w:spacing w:before="0" w:after="80"/>
        <w:jc w:val="center"/>
      </w:pPr>
      <w:r>
        <w:t xml:space="preserve">TRATADO ACADÉMICO DE EPIDEMIOLOGÍA CLÍNICA Y BIOESTADÍSTICA: GUÍA EXTENSA DE EJERCICIOS RESUELTOS</w:t>
      </w:r>
    </w:p>
    <w:p>
      <w:pPr>
        <w:spacing w:after="80"/>
      </w:pPr>
      <w:r>
        <w:t xml:space="preserve">Como transcriptor académico especializado en ciencias de la salud, presento la siguiente guía técnica diseñada para el estamento médico en formación. Esta obra desarrolla con rigor absoluto los pilares de la validez diagnóstica y la métrica de intervención en ensayos clínicos, integrando la totalidad de los datos, fórmulas y criterios de interpretación presentes en la evidencia documental cargada 1-3.</w:t>
      </w:r>
    </w:p>
    <w:p>
      <w:pPr>
        <w:pStyle w:val="Heading1"/>
        <w:keepNext/>
        <w:spacing w:before="0" w:after="120"/>
        <w:pBdr>
          <w:bottom w:val="single" w:sz="6" w:space="2" w:color="C0C0C0"/>
        </w:pBdr>
      </w:pPr>
      <w:r>
        <w:br w:type="page"/>
      </w:r>
      <w:r>
        <w:t xml:space="preserve">TEMA 1 — PRUEBAS DIAGNÓSTICAS Y DE CRIBADO (TAMIZAJE)</w:t>
      </w:r>
    </w:p>
    <w:p>
      <w:pPr>
        <w:spacing w:after="80"/>
      </w:pPr>
      <w:r>
        <w:t xml:space="preserve">La prueba tamiz se define como un procedimiento rápido, económico y no invasivo aplicado a poblaciones aparentemente sanas para clasificar individuos según su probabilidad de padecer una patología 1, 3, 4. Es imperativo comprender que el tamizaje no constituye un diagnóstico definitivo; su propósito es identificar sospechosos que requieren confirmación mediante una prueba de referencia o "Gold Standard" 5-7.</w:t>
      </w:r>
    </w:p>
    <w:p>
      <w:pPr>
        <w:pStyle w:val="Heading2"/>
        <w:keepNext/>
        <w:spacing w:before="200" w:after="80"/>
      </w:pPr>
      <w:r>
        <w:t xml:space="preserve">EJERCICIO 1A: CONSTRUCCIÓN DE TABLA 2×2 Y PARÁMETROS DE VALIDEZ</w:t>
      </w:r>
    </w:p>
    <w:p>
      <w:pPr>
        <w:pStyle w:val="Heading3"/>
        <w:keepNext/>
        <w:spacing w:before="140" w:after="40"/>
      </w:pPr>
      <w:r>
        <w:t xml:space="preserve">1. Enunciado</w:t>
      </w:r>
    </w:p>
    <w:p>
      <w:pPr>
        <w:spacing w:after="60"/>
        <w:ind w:left="120"/>
      </w:pPr>
      <w:r>
        <w:t xml:space="preserve">Se evalúa una nueva prueba diagnóstica en una población de </w:t>
      </w:r>
      <w:r>
        <w:t xml:space="preserve">N = 1.000</w:t>
      </w:r>
      <w:r>
        <w:t xml:space="preserve"> sujetos. La prevalencia de la enfermedad en este grupo es del </w:t>
      </w:r>
      <w:r>
        <w:t xml:space="preserve">20%</w:t>
      </w:r>
      <w:r>
        <w:t xml:space="preserve">. Tras aplicar el Gold Standard y la prueba en estudio, se determina que </w:t>
      </w:r>
      <w:r>
        <w:t xml:space="preserve">160</w:t>
      </w:r>
      <w:r>
        <w:t xml:space="preserve"> individuos son verdaderos positivos (VP) y </w:t>
      </w:r>
      <w:r>
        <w:t xml:space="preserve">700</w:t>
      </w:r>
      <w:r>
        <w:t xml:space="preserve"> son verdaderos negativos (VN) 8, 9.</w:t>
      </w:r>
    </w:p>
    <w:p>
      <w:pPr>
        <w:pStyle w:val="Heading3"/>
        <w:keepNext/>
        <w:spacing w:before="140" w:after="40"/>
      </w:pPr>
      <w:r>
        <w:t xml:space="preserve">2. Fórmulas</w:t>
      </w:r>
    </w:p>
    <w:p>
      <w:pPr>
        <w:spacing w:before="20" w:after="20"/>
        <w:ind w:left="420" w:hanging="260"/>
      </w:pPr>
      <w:r>
        <w:rPr>
          <w:color w:val="2E74B5"/>
        </w:rPr>
        <w:t xml:space="preserve">•  </w:t>
      </w:r>
      <w:r>
        <w:rPr>
          <w:b/>
        </w:rPr>
        <w:t xml:space="preserve">Sensibilidad (S):</w:t>
      </w:r>
      <w:r>
        <w:t xml:space="preserve"> </w:t>
      </w:r>
      <w:r>
        <w:t xml:space="preserve">VP / (VP + FN)</w:t>
      </w:r>
      <w:r>
        <w:t xml:space="preserve"> o </w:t>
      </w:r>
      <w:r>
        <w:t xml:space="preserve">a / (a + c)</w:t>
      </w:r>
      <w:r>
        <w:t xml:space="preserve"> 10-12.</w:t>
      </w:r>
    </w:p>
    <w:p>
      <w:pPr>
        <w:spacing w:before="20" w:after="20"/>
        <w:ind w:left="420" w:hanging="260"/>
      </w:pPr>
      <w:r>
        <w:rPr>
          <w:color w:val="2E74B5"/>
        </w:rPr>
        <w:t xml:space="preserve">•  </w:t>
      </w:r>
      <w:r>
        <w:rPr>
          <w:b/>
        </w:rPr>
        <w:t xml:space="preserve">Especificidad (E):</w:t>
      </w:r>
      <w:r>
        <w:t xml:space="preserve"> </w:t>
      </w:r>
      <w:r>
        <w:t xml:space="preserve">VN / (VN + FP)</w:t>
      </w:r>
      <w:r>
        <w:t xml:space="preserve"> o </w:t>
      </w:r>
      <w:r>
        <w:t xml:space="preserve">d / (b + d)</w:t>
      </w:r>
      <w:r>
        <w:t xml:space="preserve"> 10-12.</w:t>
      </w:r>
    </w:p>
    <w:p>
      <w:pPr>
        <w:spacing w:before="20" w:after="20"/>
        <w:ind w:left="420" w:hanging="260"/>
      </w:pPr>
      <w:r>
        <w:rPr>
          <w:color w:val="2E74B5"/>
        </w:rPr>
        <w:t xml:space="preserve">•  </w:t>
      </w:r>
      <w:r>
        <w:rPr>
          <w:b/>
        </w:rPr>
        <w:t xml:space="preserve">Valor Predictivo Positivo (VPP):</w:t>
      </w:r>
      <w:r>
        <w:t xml:space="preserve"> </w:t>
      </w:r>
      <w:r>
        <w:t xml:space="preserve">VP / (VP + FP)</w:t>
      </w:r>
      <w:r>
        <w:t xml:space="preserve"> o </w:t>
      </w:r>
      <w:r>
        <w:t xml:space="preserve">a / (a + b)</w:t>
      </w:r>
      <w:r>
        <w:t xml:space="preserve"> 13-15.</w:t>
      </w:r>
    </w:p>
    <w:p>
      <w:pPr>
        <w:spacing w:before="20" w:after="20"/>
        <w:ind w:left="420" w:hanging="260"/>
      </w:pPr>
      <w:r>
        <w:rPr>
          <w:color w:val="2E74B5"/>
        </w:rPr>
        <w:t xml:space="preserve">•  </w:t>
      </w:r>
      <w:r>
        <w:rPr>
          <w:b/>
        </w:rPr>
        <w:t xml:space="preserve">Valor Predictivo Negativo (VPN):</w:t>
      </w:r>
      <w:r>
        <w:t xml:space="preserve"> </w:t>
      </w:r>
      <w:r>
        <w:t xml:space="preserve">VN / (VN + FN)</w:t>
      </w:r>
      <w:r>
        <w:t xml:space="preserve"> o </w:t>
      </w:r>
      <w:r>
        <w:t xml:space="preserve">d / (c + d)</w:t>
      </w:r>
      <w:r>
        <w:t xml:space="preserve"> 13-15.</w:t>
      </w:r>
    </w:p>
    <w:p>
      <w:pPr>
        <w:pStyle w:val="Heading3"/>
        <w:keepNext/>
        <w:spacing w:before="140" w:after="40"/>
      </w:pPr>
      <w:r>
        <w:t xml:space="preserve">3. Procedimiento paso a paso</w:t>
      </w:r>
    </w:p>
    <w:p>
      <w:pPr>
        <w:spacing w:before="20" w:after="20"/>
        <w:ind w:left="420" w:hanging="260"/>
      </w:pPr>
      <w:r>
        <w:rPr>
          <w:color w:val="2E74B5"/>
        </w:rPr>
        <w:t xml:space="preserve">•  </w:t>
      </w:r>
      <w:r>
        <w:rPr>
          <w:b/>
        </w:rPr>
        <w:t xml:space="preserve">Determinar Totales:</w:t>
      </w:r>
      <w:r>
        <w:t xml:space="preserve"> Con una prevalencia del </w:t>
      </w:r>
      <w:r>
        <w:t xml:space="preserve">20%</w:t>
      </w:r>
      <w:r>
        <w:t xml:space="preserve">, hay </w:t>
      </w:r>
      <w:r>
        <w:t xml:space="preserve">200</w:t>
      </w:r>
      <w:r>
        <w:t xml:space="preserve"> enfermos (</w:t>
      </w:r>
      <w:r>
        <w:t xml:space="preserve">1.000 × 0,20</w:t>
      </w:r>
      <w:r>
        <w:t xml:space="preserve">) y </w:t>
      </w:r>
      <w:r>
        <w:t xml:space="preserve">800</w:t>
      </w:r>
      <w:r>
        <w:t xml:space="preserve"> sanos (</w:t>
      </w:r>
      <w:r>
        <w:t xml:space="preserve">1.000 - 200</w:t>
      </w:r>
      <w:r>
        <w:t xml:space="preserve">) 8, 9.</w:t>
      </w:r>
    </w:p>
    <w:p>
      <w:pPr>
        <w:spacing w:before="20" w:after="20"/>
        <w:ind w:left="420" w:hanging="260"/>
      </w:pPr>
      <w:r>
        <w:rPr>
          <w:color w:val="2E74B5"/>
        </w:rPr>
        <w:t xml:space="preserve">•  </w:t>
      </w:r>
      <w:r>
        <w:rPr>
          <w:b/>
        </w:rPr>
        <w:t xml:space="preserve">Completar celdas:</w:t>
      </w:r>
    </w:p>
    <w:p>
      <w:pPr>
        <w:spacing w:before="20" w:after="20"/>
        <w:ind w:left="420" w:hanging="260"/>
      </w:pPr>
      <w:r>
        <w:rPr>
          <w:color w:val="2E74B5"/>
        </w:rPr>
        <w:t xml:space="preserve">•  </w:t>
      </w:r>
      <w:r>
        <w:t xml:space="preserve">Si hay </w:t>
      </w:r>
      <w:r>
        <w:t xml:space="preserve">200</w:t>
      </w:r>
      <w:r>
        <w:t xml:space="preserve"> enfermos y </w:t>
      </w:r>
      <w:r>
        <w:t xml:space="preserve">160</w:t>
      </w:r>
      <w:r>
        <w:t xml:space="preserve"> son VP, los Falsos Negativos (FN) son </w:t>
      </w:r>
      <w:r>
        <w:t xml:space="preserve">200 - 160 = 40</w:t>
      </w:r>
      <w:r>
        <w:t xml:space="preserve">.</w:t>
      </w:r>
    </w:p>
    <w:p>
      <w:pPr>
        <w:spacing w:before="20" w:after="20"/>
        <w:ind w:left="420" w:hanging="260"/>
      </w:pPr>
      <w:r>
        <w:rPr>
          <w:color w:val="2E74B5"/>
        </w:rPr>
        <w:t xml:space="preserve">•  </w:t>
      </w:r>
      <w:r>
        <w:t xml:space="preserve">Si hay </w:t>
      </w:r>
      <w:r>
        <w:t xml:space="preserve">800</w:t>
      </w:r>
      <w:r>
        <w:t xml:space="preserve"> sanos y </w:t>
      </w:r>
      <w:r>
        <w:t xml:space="preserve">700</w:t>
      </w:r>
      <w:r>
        <w:t xml:space="preserve"> son VN, los Falsos Positivos (FP) son </w:t>
      </w:r>
      <w:r>
        <w:t xml:space="preserve">800 - 700 = 100</w:t>
      </w:r>
      <w:r>
        <w:t xml:space="preserve"> 8, 9.</w:t>
      </w:r>
    </w:p>
    <w:p>
      <w:pPr>
        <w:spacing w:before="20" w:after="20"/>
        <w:ind w:left="420" w:hanging="260"/>
      </w:pPr>
      <w:r>
        <w:rPr>
          <w:color w:val="2E74B5"/>
        </w:rPr>
        <w:t xml:space="preserve">•  </w:t>
      </w:r>
      <w:r>
        <w:rPr>
          <w:b/>
        </w:rPr>
        <w:t xml:space="preserve">Construir tabla:</w:t>
      </w:r>
    </w:p>
    <w:tbl>
      <w:tblPr>
        <w:tblW w:w="0" w:type="auto"/>
        <w:jc w:val="center"/>
        <w:tblBorders>
          <w:top w:val="single" w:sz="4" w:space="0" w:color="9BB7D4"/>
          <w:left w:val="single" w:sz="4" w:space="0" w:color="9BB7D4"/>
          <w:bottom w:val="single" w:sz="4" w:space="0" w:color="9BB7D4"/>
          <w:right w:val="single" w:sz="4" w:space="0" w:color="9BB7D4"/>
          <w:insideH w:val="single" w:sz="4" w:space="0" w:color="9BB7D4"/>
          <w:insideV w:val="single" w:sz="4" w:space="0" w:color="9BB7D4"/>
        </w:tblBorders>
        <w:tblCellMar>
          <w:top w:w="40" w:type="dxa"/>
          <w:left w:w="100" w:type="dxa"/>
          <w:bottom w:w="40" w:type="dxa"/>
          <w:right w:w="100" w:type="dxa"/>
        </w:tblCellMar>
      </w:tblPr>
      <w:tblGrid>
        <w:gridCol/>
        <w:gridCol/>
        <w:gridCol/>
        <w:gridCol/>
      </w:tblGrid>
      <w:tr>
        <w:tc>
          <w:tcPr>
            <w:shd w:val="clear" w:color="auto" w:fill="2E74B5"/>
            <w:vAlign w:val="center"/>
          </w:tcPr>
          <w:p>
            <w:pPr>
              <w:jc w:val="center"/>
              <w:spacing w:before="20" w:after="20"/>
            </w:pPr>
          </w:p>
        </w:tc>
        <w:tc>
          <w:tcPr>
            <w:shd w:val="clear" w:color="auto" w:fill="2E74B5"/>
            <w:vAlign w:val="center"/>
          </w:tcPr>
          <w:p>
            <w:pPr>
              <w:jc w:val="center"/>
              <w:spacing w:before="20" w:after="20"/>
            </w:pPr>
            <w:r>
              <w:rPr>
                <w:b/>
                <w:color w:val="FFFFFF"/>
              </w:rPr>
              <w:t xml:space="preserve">Con Enfermedad</w:t>
            </w:r>
          </w:p>
        </w:tc>
        <w:tc>
          <w:tcPr>
            <w:shd w:val="clear" w:color="auto" w:fill="2E74B5"/>
            <w:vAlign w:val="center"/>
          </w:tcPr>
          <w:p>
            <w:pPr>
              <w:jc w:val="center"/>
              <w:spacing w:before="20" w:after="20"/>
            </w:pPr>
            <w:r>
              <w:rPr>
                <w:b/>
                <w:color w:val="FFFFFF"/>
              </w:rPr>
              <w:t xml:space="preserve">Sin Enfermedad</w:t>
            </w:r>
          </w:p>
        </w:tc>
        <w:tc>
          <w:tcPr>
            <w:shd w:val="clear" w:color="auto" w:fill="2E74B5"/>
            <w:vAlign w:val="center"/>
          </w:tcPr>
          <w:p>
            <w:pPr>
              <w:jc w:val="center"/>
              <w:spacing w:before="20" w:after="20"/>
            </w:pPr>
            <w:r>
              <w:rPr>
                <w:b/>
                <w:color w:val="FFFFFF"/>
              </w:rPr>
              <w:t xml:space="preserve">Total</w:t>
            </w:r>
          </w:p>
        </w:tc>
      </w:tr>
      <w:tr>
        <w:tc>
          <w:tcPr>
            <w:vAlign w:val="center"/>
          </w:tcPr>
          <w:p>
            <w:pPr>
              <w:jc w:val="center"/>
              <w:spacing w:before="20" w:after="20"/>
            </w:pPr>
            <w:r>
              <w:t xml:space="preserve">Prueba (+)</w:t>
            </w:r>
          </w:p>
        </w:tc>
        <w:tc>
          <w:tcPr>
            <w:vAlign w:val="center"/>
          </w:tcPr>
          <w:p>
            <w:pPr>
              <w:jc w:val="center"/>
              <w:spacing w:before="20" w:after="20"/>
            </w:pPr>
            <w:r>
              <w:t xml:space="preserve">160</w:t>
            </w:r>
            <w:r>
              <w:t xml:space="preserve"> (VP)</w:t>
            </w:r>
          </w:p>
        </w:tc>
        <w:tc>
          <w:tcPr>
            <w:vAlign w:val="center"/>
          </w:tcPr>
          <w:p>
            <w:pPr>
              <w:jc w:val="center"/>
              <w:spacing w:before="20" w:after="20"/>
            </w:pPr>
            <w:r>
              <w:t xml:space="preserve">100</w:t>
            </w:r>
            <w:r>
              <w:t xml:space="preserve"> (FP)</w:t>
            </w:r>
          </w:p>
        </w:tc>
        <w:tc>
          <w:tcPr>
            <w:vAlign w:val="center"/>
          </w:tcPr>
          <w:p>
            <w:pPr>
              <w:jc w:val="center"/>
              <w:spacing w:before="20" w:after="20"/>
            </w:pPr>
            <w:r>
              <w:t xml:space="preserve">260</w:t>
            </w:r>
          </w:p>
        </w:tc>
      </w:tr>
      <w:tr>
        <w:tc>
          <w:tcPr>
            <w:vAlign w:val="center"/>
          </w:tcPr>
          <w:p>
            <w:pPr>
              <w:jc w:val="center"/>
              <w:spacing w:before="20" w:after="20"/>
            </w:pPr>
            <w:r>
              <w:t xml:space="preserve">Prueba (-)</w:t>
            </w:r>
          </w:p>
        </w:tc>
        <w:tc>
          <w:tcPr>
            <w:vAlign w:val="center"/>
          </w:tcPr>
          <w:p>
            <w:pPr>
              <w:jc w:val="center"/>
              <w:spacing w:before="20" w:after="20"/>
            </w:pPr>
            <w:r>
              <w:t xml:space="preserve">40</w:t>
            </w:r>
            <w:r>
              <w:t xml:space="preserve"> (FN)</w:t>
            </w:r>
          </w:p>
        </w:tc>
        <w:tc>
          <w:tcPr>
            <w:vAlign w:val="center"/>
          </w:tcPr>
          <w:p>
            <w:pPr>
              <w:jc w:val="center"/>
              <w:spacing w:before="20" w:after="20"/>
            </w:pPr>
            <w:r>
              <w:t xml:space="preserve">700</w:t>
            </w:r>
            <w:r>
              <w:t xml:space="preserve"> (VN)</w:t>
            </w:r>
          </w:p>
        </w:tc>
        <w:tc>
          <w:tcPr>
            <w:vAlign w:val="center"/>
          </w:tcPr>
          <w:p>
            <w:pPr>
              <w:jc w:val="center"/>
              <w:spacing w:before="20" w:after="20"/>
            </w:pPr>
            <w:r>
              <w:t xml:space="preserve">740</w:t>
            </w:r>
          </w:p>
        </w:tc>
      </w:tr>
      <w:tr>
        <w:tc>
          <w:tcPr>
            <w:vAlign w:val="center"/>
          </w:tcPr>
          <w:p>
            <w:pPr>
              <w:jc w:val="center"/>
              <w:spacing w:before="20" w:after="20"/>
            </w:pPr>
            <w:r>
              <w:t xml:space="preserve">Total</w:t>
            </w:r>
          </w:p>
        </w:tc>
        <w:tc>
          <w:tcPr>
            <w:vAlign w:val="center"/>
          </w:tcPr>
          <w:p>
            <w:pPr>
              <w:jc w:val="center"/>
              <w:spacing w:before="20" w:after="20"/>
            </w:pPr>
            <w:r>
              <w:t xml:space="preserve">200</w:t>
            </w:r>
          </w:p>
        </w:tc>
        <w:tc>
          <w:tcPr>
            <w:vAlign w:val="center"/>
          </w:tcPr>
          <w:p>
            <w:pPr>
              <w:jc w:val="center"/>
              <w:spacing w:before="20" w:after="20"/>
            </w:pPr>
            <w:r>
              <w:t xml:space="preserve">800</w:t>
            </w:r>
          </w:p>
        </w:tc>
        <w:tc>
          <w:tcPr>
            <w:vAlign w:val="center"/>
          </w:tcPr>
          <w:p>
            <w:pPr>
              <w:jc w:val="center"/>
              <w:spacing w:before="20" w:after="20"/>
            </w:pPr>
            <w:r>
              <w:t xml:space="preserve">1.000</w:t>
            </w:r>
          </w:p>
        </w:tc>
      </w:tr>
    </w:tbl>
    <w:p>
      <w:pPr>
        <w:spacing w:after="40"/>
      </w:pPr>
    </w:p>
    <w:p>
      <w:pPr>
        <w:spacing w:before="20" w:after="20"/>
        <w:ind w:left="420" w:hanging="260"/>
      </w:pPr>
      <w:r>
        <w:rPr>
          <w:color w:val="2E74B5"/>
        </w:rPr>
        <w:t xml:space="preserve">•  </w:t>
      </w:r>
      <w:r>
        <w:rPr>
          <w:b/>
        </w:rPr>
        <w:t xml:space="preserve">Cálculos:</w:t>
      </w:r>
    </w:p>
    <w:p>
      <w:pPr>
        <w:spacing w:before="20" w:after="20"/>
        <w:ind w:left="420" w:hanging="260"/>
      </w:pPr>
      <w:r>
        <w:rPr>
          <w:color w:val="2E74B5"/>
        </w:rPr>
        <w:t xml:space="preserve">•  </w:t>
      </w:r>
      <w:r>
        <w:rPr>
          <w:b/>
        </w:rPr>
        <w:t xml:space="preserve">S:</w:t>
      </w:r>
      <w:r>
        <w:t xml:space="preserve"> </w:t>
      </w:r>
      <w:r>
        <w:t xml:space="preserve">160 / 200 = 0,80</w:t>
      </w:r>
      <w:r>
        <w:t xml:space="preserve"> (</w:t>
      </w:r>
      <w:r>
        <w:t xml:space="preserve">80%</w:t>
      </w:r>
      <w:r>
        <w:t xml:space="preserve">) 16, 17.</w:t>
      </w:r>
    </w:p>
    <w:p>
      <w:pPr>
        <w:spacing w:before="20" w:after="20"/>
        <w:ind w:left="420" w:hanging="260"/>
      </w:pPr>
      <w:r>
        <w:rPr>
          <w:color w:val="2E74B5"/>
        </w:rPr>
        <w:t xml:space="preserve">•  </w:t>
      </w:r>
      <w:r>
        <w:rPr>
          <w:b/>
        </w:rPr>
        <w:t xml:space="preserve">E:</w:t>
      </w:r>
      <w:r>
        <w:t xml:space="preserve"> </w:t>
      </w:r>
      <w:r>
        <w:t xml:space="preserve">700 / 800 = 0,875</w:t>
      </w:r>
      <w:r>
        <w:t xml:space="preserve"> (</w:t>
      </w:r>
      <w:r>
        <w:t xml:space="preserve">87,5%</w:t>
      </w:r>
      <w:r>
        <w:t xml:space="preserve">) 16, 17.</w:t>
      </w:r>
    </w:p>
    <w:p>
      <w:pPr>
        <w:spacing w:before="20" w:after="20"/>
        <w:ind w:left="420" w:hanging="260"/>
      </w:pPr>
      <w:r>
        <w:rPr>
          <w:color w:val="2E74B5"/>
        </w:rPr>
        <w:t xml:space="preserve">•  </w:t>
      </w:r>
      <w:r>
        <w:rPr>
          <w:b/>
        </w:rPr>
        <w:t xml:space="preserve">VPP:</w:t>
      </w:r>
      <w:r>
        <w:t xml:space="preserve"> </w:t>
      </w:r>
      <w:r>
        <w:t xml:space="preserve">160 / 260 = 0,615</w:t>
      </w:r>
      <w:r>
        <w:t xml:space="preserve"> (</w:t>
      </w:r>
      <w:r>
        <w:t xml:space="preserve">61,5%</w:t>
      </w:r>
      <w:r>
        <w:t xml:space="preserve">) 14, 15.</w:t>
      </w:r>
    </w:p>
    <w:p>
      <w:pPr>
        <w:spacing w:before="20" w:after="20"/>
        <w:ind w:left="420" w:hanging="260"/>
      </w:pPr>
      <w:r>
        <w:rPr>
          <w:color w:val="2E74B5"/>
        </w:rPr>
        <w:t xml:space="preserve">•  </w:t>
      </w:r>
      <w:r>
        <w:rPr>
          <w:b/>
        </w:rPr>
        <w:t xml:space="preserve">VPN:</w:t>
      </w:r>
      <w:r>
        <w:t xml:space="preserve"> </w:t>
      </w:r>
      <w:r>
        <w:t xml:space="preserve">700 / 740 = 0,946</w:t>
      </w:r>
      <w:r>
        <w:t xml:space="preserve"> (</w:t>
      </w:r>
      <w:r>
        <w:t xml:space="preserve">94,6%</w:t>
      </w:r>
      <w:r>
        <w:t xml:space="preserve">) 14, 15.</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S:</w:t>
      </w:r>
      <w:r>
        <w:t xml:space="preserve"> </w:t>
      </w:r>
      <w:r>
        <w:t xml:space="preserve">80%</w:t>
      </w:r>
      <w:r>
        <w:t xml:space="preserve">; E: </w:t>
      </w:r>
      <w:r>
        <w:t xml:space="preserve">87,5%</w:t>
      </w:r>
      <w:r>
        <w:t xml:space="preserve">; VPP: </w:t>
      </w:r>
      <w:r>
        <w:t xml:space="preserve">61,5%</w:t>
      </w:r>
      <w:r>
        <w:t xml:space="preserve">; VPN: </w:t>
      </w:r>
      <w:r>
        <w:t xml:space="preserve">94,6%</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rPr>
          <w:b/>
        </w:rPr>
        <w:t xml:space="preserve">Sensibilidad:</w:t>
      </w:r>
      <w:r>
        <w:t xml:space="preserve"> La probabilidad de que un enfermo sea detectado es del </w:t>
      </w:r>
      <w:r>
        <w:t xml:space="preserve">80%</w:t>
      </w:r>
      <w:r>
        <w:t xml:space="preserve">. Un </w:t>
      </w:r>
      <w:r>
        <w:t xml:space="preserve">20%</w:t>
      </w:r>
      <w:r>
        <w:t xml:space="preserve"> de los enfermos recibirá un falso diagnóstico de salud (FN) 16, 17.</w:t>
      </w:r>
    </w:p>
    <w:p>
      <w:pPr>
        <w:spacing w:before="20" w:after="20"/>
        <w:ind w:left="420" w:hanging="260"/>
      </w:pPr>
      <w:r>
        <w:rPr>
          <w:color w:val="2E74B5"/>
        </w:rPr>
        <w:t xml:space="preserve">•  </w:t>
      </w:r>
      <w:r>
        <w:rPr>
          <w:b/>
        </w:rPr>
        <w:t xml:space="preserve">Especificidad:</w:t>
      </w:r>
      <w:r>
        <w:t xml:space="preserve"> La probabilidad de clasificar correctamente a un sano es del </w:t>
      </w:r>
      <w:r>
        <w:t xml:space="preserve">87,5%</w:t>
      </w:r>
      <w:r>
        <w:t xml:space="preserve">. Un </w:t>
      </w:r>
      <w:r>
        <w:t xml:space="preserve">12,5%</w:t>
      </w:r>
      <w:r>
        <w:t xml:space="preserve"> de sanos tendrá un resultado positivo erróneo (FP) 16, 17.</w:t>
      </w:r>
    </w:p>
    <w:p>
      <w:pPr>
        <w:spacing w:before="20" w:after="20"/>
        <w:ind w:left="420" w:hanging="260"/>
      </w:pPr>
      <w:r>
        <w:rPr>
          <w:color w:val="2E74B5"/>
        </w:rPr>
        <w:t xml:space="preserve">•  </w:t>
      </w:r>
      <w:r>
        <w:rPr>
          <w:b/>
        </w:rPr>
        <w:t xml:space="preserve">VPP:</w:t>
      </w:r>
      <w:r>
        <w:t xml:space="preserve"> Ante un resultado positivo, la probabilidad real de estar enfermo es del </w:t>
      </w:r>
      <w:r>
        <w:t xml:space="preserve">61,5%</w:t>
      </w:r>
      <w:r>
        <w:t xml:space="preserve">.</w:t>
      </w:r>
    </w:p>
    <w:p>
      <w:pPr>
        <w:spacing w:before="20" w:after="20"/>
        <w:ind w:left="420" w:hanging="260"/>
      </w:pPr>
      <w:r>
        <w:rPr>
          <w:color w:val="2E74B5"/>
        </w:rPr>
        <w:t xml:space="preserve">•  </w:t>
      </w:r>
      <w:r>
        <w:rPr>
          <w:b/>
        </w:rPr>
        <w:t xml:space="preserve">VPN:</w:t>
      </w:r>
      <w:r>
        <w:t xml:space="preserve"> Ante un resultado negativo, la probabilidad de estar realmente sano es del </w:t>
      </w:r>
      <w:r>
        <w:t xml:space="preserve">94,6%</w:t>
      </w:r>
      <w:r>
        <w:t xml:space="preserve"> 14, 15.</w:t>
      </w:r>
    </w:p>
    <w:p>
      <w:pPr>
        <w:pStyle w:val="Heading3"/>
        <w:keepNext/>
        <w:spacing w:before="140" w:after="40"/>
      </w:pPr>
      <w:r>
        <w:t xml:space="preserve">6. Errores comunes a evitar</w:t>
      </w:r>
    </w:p>
    <w:p>
      <w:pPr>
        <w:spacing w:before="20" w:after="20"/>
        <w:ind w:left="420" w:hanging="260"/>
      </w:pPr>
      <w:r>
        <w:rPr>
          <w:color w:val="2E74B5"/>
        </w:rPr>
        <w:t xml:space="preserve">•  </w:t>
      </w:r>
      <w:r>
        <w:rPr>
          <w:b/>
        </w:rPr>
        <w:t xml:space="preserve">Confundir los denominadores:</w:t>
      </w:r>
      <w:r>
        <w:t xml:space="preserve"> la S y E se calculan sobre las columnas (enfermos/sanos), mientras que VPP y VPN sobre las filas (resultados +/-) 10, 13, 18, 19.</w:t>
      </w:r>
    </w:p>
    <w:p>
      <w:pPr>
        <w:spacing w:before="20" w:after="20"/>
        <w:ind w:left="420" w:hanging="260"/>
      </w:pPr>
      <w:r>
        <w:rPr>
          <w:color w:val="2E74B5"/>
        </w:rPr>
        <w:t xml:space="preserve">•  </w:t>
      </w:r>
      <w:r>
        <w:t xml:space="preserve">No convertir decimales a porcentajes para la interpretación final 20.</w:t>
      </w:r>
    </w:p>
    <w:p>
      <w:pPr>
        <w:pStyle w:val="Heading2"/>
        <w:keepNext/>
        <w:spacing w:before="200" w:after="80"/>
      </w:pPr>
      <w:r>
        <w:t xml:space="preserve">EJERCICIO 1B: RAZONES DE VEROSIMILITUD (LIKELIHOOD RATIOS)</w:t>
      </w:r>
    </w:p>
    <w:p>
      <w:pPr>
        <w:pStyle w:val="Heading3"/>
        <w:keepNext/>
        <w:spacing w:before="140" w:after="40"/>
      </w:pPr>
      <w:r>
        <w:t xml:space="preserve">1. Enunciado</w:t>
      </w:r>
    </w:p>
    <w:p>
      <w:pPr>
        <w:spacing w:after="60"/>
        <w:ind w:left="120"/>
      </w:pPr>
      <w:r>
        <w:t xml:space="preserve">Calcular la potencia diagnóstica de la prueba del ejercicio 1A utilizando Razones de Verosimilitud 21-23.</w:t>
      </w:r>
    </w:p>
    <w:p>
      <w:pPr>
        <w:pStyle w:val="Heading3"/>
        <w:keepNext/>
        <w:spacing w:before="140" w:after="40"/>
      </w:pPr>
      <w:r>
        <w:t xml:space="preserve">2. Fórmulas</w:t>
      </w:r>
    </w:p>
    <w:p>
      <w:pPr>
        <w:spacing w:before="20" w:after="20"/>
        <w:ind w:left="420" w:hanging="260"/>
      </w:pPr>
      <w:r>
        <w:rPr>
          <w:color w:val="2E74B5"/>
        </w:rPr>
        <w:t xml:space="preserve">•  </w:t>
      </w:r>
      <w:r>
        <w:rPr>
          <w:b/>
        </w:rPr>
        <w:t xml:space="preserve">RV+:</w:t>
      </w:r>
      <w:r>
        <w:t xml:space="preserve"> </w:t>
      </w:r>
      <w:r>
        <w:t xml:space="preserve">S / (1 - E)</w:t>
      </w:r>
      <w:r>
        <w:t xml:space="preserve"> 21-23.</w:t>
      </w:r>
    </w:p>
    <w:p>
      <w:pPr>
        <w:spacing w:before="20" w:after="20"/>
        <w:ind w:left="420" w:hanging="260"/>
      </w:pPr>
      <w:r>
        <w:rPr>
          <w:color w:val="2E74B5"/>
        </w:rPr>
        <w:t xml:space="preserve">•  </w:t>
      </w:r>
      <w:r>
        <w:rPr>
          <w:b/>
        </w:rPr>
        <w:t xml:space="preserve">RV-:</w:t>
      </w:r>
      <w:r>
        <w:t xml:space="preserve"> </w:t>
      </w:r>
      <w:r>
        <w:t xml:space="preserve">(1 - S) / E</w:t>
      </w:r>
      <w:r>
        <w:t xml:space="preserve"> 22-24.</w:t>
      </w:r>
    </w:p>
    <w:p>
      <w:pPr>
        <w:pStyle w:val="Heading3"/>
        <w:keepNext/>
        <w:spacing w:before="140" w:after="40"/>
      </w:pPr>
      <w:r>
        <w:t xml:space="preserve">3. Procedimiento paso a paso</w:t>
      </w:r>
    </w:p>
    <w:p>
      <w:pPr>
        <w:spacing w:before="20" w:after="20"/>
        <w:ind w:left="420" w:hanging="260"/>
      </w:pPr>
      <w:r>
        <w:rPr>
          <w:color w:val="2E74B5"/>
        </w:rPr>
        <w:t xml:space="preserve">•  </w:t>
      </w:r>
      <w:r>
        <w:rPr>
          <w:b/>
        </w:rPr>
        <w:t xml:space="preserve">RV+:</w:t>
      </w:r>
      <w:r>
        <w:t xml:space="preserve"> </w:t>
      </w:r>
      <w:r>
        <w:t xml:space="preserve">0,80 / (1 - 0,875) = 0,80 / 0,125 = 6,4</w:t>
      </w:r>
      <w:r>
        <w:t xml:space="preserve"> 22, 23.</w:t>
      </w:r>
    </w:p>
    <w:p>
      <w:pPr>
        <w:spacing w:before="20" w:after="20"/>
        <w:ind w:left="420" w:hanging="260"/>
      </w:pPr>
      <w:r>
        <w:rPr>
          <w:color w:val="2E74B5"/>
        </w:rPr>
        <w:t xml:space="preserve">•  </w:t>
      </w:r>
      <w:r>
        <w:rPr>
          <w:b/>
        </w:rPr>
        <w:t xml:space="preserve">RV-:</w:t>
      </w:r>
      <w:r>
        <w:t xml:space="preserve"> </w:t>
      </w:r>
      <w:r>
        <w:t xml:space="preserve">(1 - 0,80) / 0,875 = 0,20 / 0,875 = 0,228</w:t>
      </w:r>
      <w:r>
        <w:t xml:space="preserve"> 22, 23.</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RV+:</w:t>
      </w:r>
      <w:r>
        <w:t xml:space="preserve"> </w:t>
      </w:r>
      <w:r>
        <w:t xml:space="preserve">6,4</w:t>
      </w:r>
      <w:r>
        <w:t xml:space="preserve">; RV-: </w:t>
      </w:r>
      <w:r>
        <w:t xml:space="preserve">0,22</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rPr>
          <w:b/>
        </w:rPr>
        <w:t xml:space="preserve">RV+:</w:t>
      </w:r>
      <w:r>
        <w:t xml:space="preserve"> El resultado positivo es </w:t>
      </w:r>
      <w:r>
        <w:t xml:space="preserve">6,4</w:t>
      </w:r>
      <w:r>
        <w:t xml:space="preserve"> veces más probable en enfermos que en sanos. Según los umbrales clínicos, un valor </w:t>
      </w:r>
      <w:r>
        <w:t xml:space="preserve">&gt;10</w:t>
      </w:r>
      <w:r>
        <w:t xml:space="preserve"> tiene gran valor diagnóstico; un </w:t>
      </w:r>
      <w:r>
        <w:t xml:space="preserve">6,4</w:t>
      </w:r>
      <w:r>
        <w:t xml:space="preserve"> indica un aumento moderado de la probabilidad post-prueba 22, 23.</w:t>
      </w:r>
    </w:p>
    <w:p>
      <w:pPr>
        <w:spacing w:before="20" w:after="20"/>
        <w:ind w:left="420" w:hanging="260"/>
      </w:pPr>
      <w:r>
        <w:rPr>
          <w:color w:val="2E74B5"/>
        </w:rPr>
        <w:t xml:space="preserve">•  </w:t>
      </w:r>
      <w:r>
        <w:rPr>
          <w:b/>
        </w:rPr>
        <w:t xml:space="preserve">RV-:</w:t>
      </w:r>
      <w:r>
        <w:t xml:space="preserve"> El resultado negativo es aproximadamente </w:t>
      </w:r>
      <w:r>
        <w:t xml:space="preserve">4,4</w:t>
      </w:r>
      <w:r>
        <w:t xml:space="preserve"> veces (</w:t>
      </w:r>
      <w:r>
        <w:t xml:space="preserve">1/0,22</w:t>
      </w:r>
      <w:r>
        <w:t xml:space="preserve">) más probable en sanos. Para descartar con fuerza, se requiere un valor </w:t>
      </w:r>
      <w:r>
        <w:t xml:space="preserve">&lt;0,1</w:t>
      </w:r>
      <w:r>
        <w:t xml:space="preserve"> 22, 23. La prueba es moderadamente útil para descartar pero no definitiva.</w:t>
      </w:r>
    </w:p>
    <w:p>
      <w:pPr>
        <w:pStyle w:val="Heading3"/>
        <w:keepNext/>
        <w:spacing w:before="140" w:after="40"/>
      </w:pPr>
      <w:r>
        <w:t xml:space="preserve">6. Errores comunes a evitar</w:t>
      </w:r>
    </w:p>
    <w:p>
      <w:pPr>
        <w:spacing w:before="20" w:after="20"/>
        <w:ind w:left="420" w:hanging="260"/>
      </w:pPr>
      <w:r>
        <w:rPr>
          <w:color w:val="2E74B5"/>
        </w:rPr>
        <w:t xml:space="preserve">•  </w:t>
      </w:r>
      <w:r>
        <w:rPr>
          <w:b/>
        </w:rPr>
        <w:t xml:space="preserve">Depender de la prevalencia:</w:t>
      </w:r>
      <w:r>
        <w:t xml:space="preserve"> A diferencia del VPP, las RV son propiedades intrínsecas de la validez de la prueba y no cambian con la frecuencia de la enfermedad 21, 25, 26.</w:t>
      </w:r>
    </w:p>
    <w:p>
      <w:pPr>
        <w:pStyle w:val="Heading2"/>
        <w:keepNext/>
        <w:spacing w:before="200" w:after="80"/>
      </w:pPr>
      <w:r>
        <w:t xml:space="preserve">EJERCICIO 1C: EFECTO DE LA PREVALENCIA EN LOS VALORES PREDICTIVOS</w:t>
      </w:r>
    </w:p>
    <w:p>
      <w:pPr>
        <w:pStyle w:val="Heading3"/>
        <w:keepNext/>
        <w:spacing w:before="140" w:after="40"/>
      </w:pPr>
      <w:r>
        <w:t xml:space="preserve">1. Enunciado</w:t>
      </w:r>
    </w:p>
    <w:p>
      <w:pPr>
        <w:spacing w:after="60"/>
        <w:ind w:left="120"/>
      </w:pPr>
      <w:r>
        <w:t xml:space="preserve">Una prueba con </w:t>
      </w:r>
      <w:r>
        <w:t xml:space="preserve">S = 95%</w:t>
      </w:r>
      <w:r>
        <w:t xml:space="preserve"> y </w:t>
      </w:r>
      <w:r>
        <w:t xml:space="preserve">E = 97%</w:t>
      </w:r>
      <w:r>
        <w:t xml:space="preserve"> se aplica en dos escenarios: a) Población general (Prevalencia </w:t>
      </w:r>
      <w:r>
        <w:t xml:space="preserve">1%</w:t>
      </w:r>
      <w:r>
        <w:t xml:space="preserve">) y b) Hospital de referencia (Prevalencia </w:t>
      </w:r>
      <w:r>
        <w:t xml:space="preserve">50%</w:t>
      </w:r>
      <w:r>
        <w:t xml:space="preserve">) 14, 15.</w:t>
      </w:r>
    </w:p>
    <w:p>
      <w:pPr>
        <w:pStyle w:val="Heading3"/>
        <w:keepNext/>
        <w:spacing w:before="140" w:after="40"/>
      </w:pPr>
      <w:r>
        <w:t xml:space="preserve">2. Fórmulas</w:t>
      </w:r>
    </w:p>
    <w:p>
      <w:pPr>
        <w:spacing w:before="20" w:after="20"/>
        <w:ind w:left="420" w:hanging="260"/>
      </w:pPr>
      <w:r>
        <w:rPr>
          <w:color w:val="2E74B5"/>
        </w:rPr>
        <w:t xml:space="preserve">•  </w:t>
      </w:r>
      <w:r>
        <w:t xml:space="preserve">Se utilizan las mismas de VPP y VPN sobre una base de </w:t>
      </w:r>
      <w:r>
        <w:t xml:space="preserve">10.000</w:t>
      </w:r>
      <w:r>
        <w:t xml:space="preserve"> sujetos 14, 15.</w:t>
      </w:r>
    </w:p>
    <w:p>
      <w:pPr>
        <w:pStyle w:val="Heading3"/>
        <w:keepNext/>
        <w:spacing w:before="140" w:after="40"/>
      </w:pPr>
      <w:r>
        <w:t xml:space="preserve">3. Procedimiento paso a paso (basado en tablas de fuentes)</w:t>
      </w:r>
    </w:p>
    <w:p>
      <w:pPr>
        <w:spacing w:before="20" w:after="20"/>
        <w:ind w:left="420" w:hanging="260"/>
      </w:pPr>
      <w:r>
        <w:rPr>
          <w:color w:val="2E74B5"/>
        </w:rPr>
        <w:t xml:space="preserve">•  </w:t>
      </w:r>
      <w:r>
        <w:rPr>
          <w:b/>
        </w:rPr>
        <w:t xml:space="preserve">Escenario 1% (Tamizaje):</w:t>
      </w:r>
      <w:r>
        <w:t xml:space="preserve"> De </w:t>
      </w:r>
      <w:r>
        <w:t xml:space="preserve">10.000</w:t>
      </w:r>
      <w:r>
        <w:t xml:space="preserve"> personas, </w:t>
      </w:r>
      <w:r>
        <w:t xml:space="preserve">100</w:t>
      </w:r>
      <w:r>
        <w:t xml:space="preserve"> están enfermas. La prueba detecta </w:t>
      </w:r>
      <w:r>
        <w:t xml:space="preserve">95</w:t>
      </w:r>
      <w:r>
        <w:t xml:space="preserve"> (VP). De </w:t>
      </w:r>
      <w:r>
        <w:t xml:space="preserve">9.900</w:t>
      </w:r>
      <w:r>
        <w:t xml:space="preserve"> sanos, el </w:t>
      </w:r>
      <w:r>
        <w:t xml:space="preserve">3%</w:t>
      </w:r>
      <w:r>
        <w:t xml:space="preserve"> (</w:t>
      </w:r>
      <w:r>
        <w:t xml:space="preserve">297</w:t>
      </w:r>
      <w:r>
        <w:t xml:space="preserve">) son FP.</w:t>
      </w:r>
    </w:p>
    <w:p>
      <w:pPr>
        <w:spacing w:before="20" w:after="20"/>
        <w:ind w:left="420" w:hanging="260"/>
      </w:pPr>
      <w:r>
        <w:rPr>
          <w:color w:val="2E74B5"/>
        </w:rPr>
        <w:t xml:space="preserve">•  </w:t>
      </w:r>
      <w:r>
        <w:rPr>
          <w:b/>
        </w:rPr>
        <w:t xml:space="preserve">VPP:</w:t>
      </w:r>
      <w:r>
        <w:t xml:space="preserve"> </w:t>
      </w:r>
      <w:r>
        <w:t xml:space="preserve">95 / (95 + 297) = 24,2%</w:t>
      </w:r>
      <w:r>
        <w:t xml:space="preserve"> 14, 15.</w:t>
      </w:r>
    </w:p>
    <w:p>
      <w:pPr>
        <w:spacing w:before="20" w:after="20"/>
        <w:ind w:left="420" w:hanging="260"/>
      </w:pPr>
      <w:r>
        <w:rPr>
          <w:color w:val="2E74B5"/>
        </w:rPr>
        <w:t xml:space="preserve">•  </w:t>
      </w:r>
      <w:r>
        <w:rPr>
          <w:b/>
        </w:rPr>
        <w:t xml:space="preserve">Escenario 50% (Clínica):</w:t>
      </w:r>
      <w:r>
        <w:t xml:space="preserve"> De </w:t>
      </w:r>
      <w:r>
        <w:t xml:space="preserve">10.000</w:t>
      </w:r>
      <w:r>
        <w:t xml:space="preserve"> personas, </w:t>
      </w:r>
      <w:r>
        <w:t xml:space="preserve">5.000</w:t>
      </w:r>
      <w:r>
        <w:t xml:space="preserve"> están enfermas. La prueba detecta </w:t>
      </w:r>
      <w:r>
        <w:t xml:space="preserve">4.750</w:t>
      </w:r>
      <w:r>
        <w:t xml:space="preserve"> (VP). De </w:t>
      </w:r>
      <w:r>
        <w:t xml:space="preserve">5.000</w:t>
      </w:r>
      <w:r>
        <w:t xml:space="preserve"> sanos, el </w:t>
      </w:r>
      <w:r>
        <w:t xml:space="preserve">3%</w:t>
      </w:r>
      <w:r>
        <w:t xml:space="preserve"> (</w:t>
      </w:r>
      <w:r>
        <w:t xml:space="preserve">150</w:t>
      </w:r>
      <w:r>
        <w:t xml:space="preserve">) son FP.</w:t>
      </w:r>
    </w:p>
    <w:p>
      <w:pPr>
        <w:spacing w:before="20" w:after="20"/>
        <w:ind w:left="420" w:hanging="260"/>
      </w:pPr>
      <w:r>
        <w:rPr>
          <w:color w:val="2E74B5"/>
        </w:rPr>
        <w:t xml:space="preserve">•  </w:t>
      </w:r>
      <w:r>
        <w:rPr>
          <w:b/>
        </w:rPr>
        <w:t xml:space="preserve">VPP:</w:t>
      </w:r>
      <w:r>
        <w:t xml:space="preserve"> </w:t>
      </w:r>
      <w:r>
        <w:t xml:space="preserve">4.750 / (4.750 + 150) = 96,9%</w:t>
      </w:r>
      <w:r>
        <w:t xml:space="preserve"> 14, 15.</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Contexto 1%:</w:t>
      </w:r>
      <w:r>
        <w:t xml:space="preserve"> VPP </w:t>
      </w:r>
      <w:r>
        <w:t xml:space="preserve">24,2%</w:t>
      </w:r>
      <w:r>
        <w:t xml:space="preserve">; Contexto 50%: VPP </w:t>
      </w:r>
      <w:r>
        <w:t xml:space="preserve">96,9%</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t xml:space="preserve">La misma prueba cambia drásticamente su utilidad según la probabilidad pre-test. En tamizaje masivo, un positivo tiene un </w:t>
      </w:r>
      <w:r>
        <w:t xml:space="preserve">75,8%</w:t>
      </w:r>
      <w:r>
        <w:t xml:space="preserve"> de ser falso (alta carga de FP), mientras que en un hospital de especialistas, el mismo positivo confirma la enfermedad con casi total certeza (</w:t>
      </w:r>
      <w:r>
        <w:t xml:space="preserve">96,9%</w:t>
      </w:r>
      <w:r>
        <w:t xml:space="preserve">) 25, 26.</w:t>
      </w:r>
    </w:p>
    <w:p>
      <w:pPr>
        <w:pStyle w:val="Heading3"/>
        <w:keepNext/>
        <w:spacing w:before="140" w:after="40"/>
      </w:pPr>
      <w:r>
        <w:t xml:space="preserve">6. Errores comunes a evitar</w:t>
      </w:r>
    </w:p>
    <w:p>
      <w:pPr>
        <w:spacing w:before="20" w:after="20"/>
        <w:ind w:left="420" w:hanging="260"/>
      </w:pPr>
      <w:r>
        <w:rPr>
          <w:color w:val="2E74B5"/>
        </w:rPr>
        <w:t xml:space="preserve">•  </w:t>
      </w:r>
      <w:r>
        <w:t xml:space="preserve">Asumir que el VPP es fijo. Siempre debe ajustarse a la epidemiología local del entorno de práctica 25, 26.</w:t>
      </w:r>
    </w:p>
    <w:p>
      <w:pPr>
        <w:pStyle w:val="Heading2"/>
        <w:keepNext/>
        <w:spacing w:before="200" w:after="80"/>
      </w:pPr>
      <w:r>
        <w:t xml:space="preserve">EJERCICIO 1D: FIABILIDAD Y ESTADÍSTICO KAPPA</w:t>
      </w:r>
    </w:p>
    <w:p>
      <w:pPr>
        <w:pStyle w:val="Heading3"/>
        <w:keepNext/>
        <w:spacing w:before="140" w:after="40"/>
      </w:pPr>
      <w:r>
        <w:t xml:space="preserve">1. Enunciado</w:t>
      </w:r>
    </w:p>
    <w:p>
      <w:pPr>
        <w:spacing w:after="60"/>
        <w:ind w:left="120"/>
      </w:pPr>
      <w:r>
        <w:t xml:space="preserve">Dos observadores evalúan </w:t>
      </w:r>
      <w:r>
        <w:t xml:space="preserve">100</w:t>
      </w:r>
      <w:r>
        <w:t xml:space="preserve"> radiografías. Concuerdan en </w:t>
      </w:r>
      <w:r>
        <w:t xml:space="preserve">28</w:t>
      </w:r>
      <w:r>
        <w:t xml:space="preserve"> positivas y </w:t>
      </w:r>
      <w:r>
        <w:t xml:space="preserve">58</w:t>
      </w:r>
      <w:r>
        <w:t xml:space="preserve"> negativas. El Observador A dio </w:t>
      </w:r>
      <w:r>
        <w:t xml:space="preserve">40</w:t>
      </w:r>
      <w:r>
        <w:t xml:space="preserve"> positivas en total y el B dio </w:t>
      </w:r>
      <w:r>
        <w:t xml:space="preserve">30</w:t>
      </w:r>
      <w:r>
        <w:t xml:space="preserve"> 27, 28.</w:t>
      </w:r>
    </w:p>
    <w:p>
      <w:pPr>
        <w:pStyle w:val="Heading3"/>
        <w:keepNext/>
        <w:spacing w:before="140" w:after="40"/>
      </w:pPr>
      <w:r>
        <w:t xml:space="preserve">2. Fórmula</w:t>
      </w:r>
    </w:p>
    <w:p>
      <w:pPr>
        <w:spacing w:before="20" w:after="20"/>
        <w:ind w:left="420" w:hanging="260"/>
      </w:pPr>
      <w:r>
        <w:rPr>
          <w:color w:val="2E74B5"/>
        </w:rPr>
        <w:t xml:space="preserve">•  </w:t>
      </w:r>
      <w:r>
        <w:t xml:space="preserve">K = (% Acuerdo Obs - % Acuerdo Esp) / (100 - % Acuerdo Esp)</w:t>
      </w:r>
      <w:r>
        <w:t xml:space="preserve"> 27-29.</w:t>
      </w:r>
    </w:p>
    <w:p>
      <w:pPr>
        <w:pStyle w:val="Heading3"/>
        <w:keepNext/>
        <w:spacing w:before="140" w:after="40"/>
      </w:pPr>
      <w:r>
        <w:t xml:space="preserve">3. Procedimiento paso a paso</w:t>
      </w:r>
    </w:p>
    <w:p>
      <w:pPr>
        <w:spacing w:before="20" w:after="20"/>
        <w:ind w:left="420" w:hanging="260"/>
      </w:pPr>
      <w:r>
        <w:rPr>
          <w:color w:val="2E74B5"/>
        </w:rPr>
        <w:t xml:space="preserve">•  </w:t>
      </w:r>
      <w:r>
        <w:rPr>
          <w:b/>
        </w:rPr>
        <w:t xml:space="preserve">Acuerdo Observado:</w:t>
      </w:r>
      <w:r>
        <w:t xml:space="preserve"> </w:t>
      </w:r>
      <w:r>
        <w:t xml:space="preserve">(28 + 58) / 100 = 86%</w:t>
      </w:r>
      <w:r>
        <w:t xml:space="preserve"> 27, 28.</w:t>
      </w:r>
    </w:p>
    <w:p>
      <w:pPr>
        <w:spacing w:before="20" w:after="20"/>
        <w:ind w:left="420" w:hanging="260"/>
      </w:pPr>
      <w:r>
        <w:rPr>
          <w:color w:val="2E74B5"/>
        </w:rPr>
        <w:t xml:space="preserve">•  </w:t>
      </w:r>
      <w:r>
        <w:rPr>
          <w:b/>
        </w:rPr>
        <w:t xml:space="preserve">Acuerdo Esperado (Azar):</w:t>
      </w:r>
      <w:r>
        <w:t xml:space="preserve"> Se calcula por la suma de las probabilidades marginales. Según fuente: </w:t>
      </w:r>
      <w:r>
        <w:t xml:space="preserve">54%</w:t>
      </w:r>
      <w:r>
        <w:t xml:space="preserve"> 27, 28.</w:t>
      </w:r>
    </w:p>
    <w:p>
      <w:pPr>
        <w:spacing w:before="20" w:after="20"/>
        <w:ind w:left="420" w:hanging="260"/>
      </w:pPr>
      <w:r>
        <w:rPr>
          <w:color w:val="2E74B5"/>
        </w:rPr>
        <w:t xml:space="preserve">•  </w:t>
      </w:r>
      <w:r>
        <w:rPr>
          <w:b/>
        </w:rPr>
        <w:t xml:space="preserve">Cálculo Kappa:</w:t>
      </w:r>
      <w:r>
        <w:t xml:space="preserve"> </w:t>
      </w:r>
      <w:r>
        <w:t xml:space="preserve">(86 - 54) / (100 - 54) = 32 / 46 = 0,70</w:t>
      </w:r>
      <w:r>
        <w:t xml:space="preserve"> 27, 28.</w:t>
      </w:r>
    </w:p>
    <w:p>
      <w:pPr>
        <w:pStyle w:val="Heading3"/>
        <w:keepNext/>
        <w:spacing w:before="140" w:after="40"/>
      </w:pPr>
      <w:r>
        <w:t xml:space="preserve">4. Resultado</w:t>
      </w:r>
    </w:p>
    <w:p>
      <w:pPr>
        <w:spacing w:before="20" w:after="20"/>
        <w:ind w:left="420" w:hanging="260"/>
      </w:pPr>
      <w:r>
        <w:rPr>
          <w:color w:val="2E74B5"/>
        </w:rPr>
        <w:t xml:space="preserve">•  </w:t>
      </w:r>
      <w:r>
        <w:t xml:space="preserve">Kappa (</w:t>
      </w:r>
      <w:r>
        <w:t xml:space="preserve">K</w:t>
      </w:r>
      <w:r>
        <w:t xml:space="preserve">) = </w:t>
      </w:r>
      <w:r>
        <w:t xml:space="preserve">0,70</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t xml:space="preserve">Según la escala de Landis y Koch, un valor de </w:t>
      </w:r>
      <w:r>
        <w:t xml:space="preserve">0,70</w:t>
      </w:r>
      <w:r>
        <w:t xml:space="preserve"> indica una buena concordancia (rango </w:t>
      </w:r>
      <w:r>
        <w:t xml:space="preserve">0,60-0,80</w:t>
      </w:r>
      <w:r>
        <w:t xml:space="preserve">) 30-32. Esto significa que el acuerdo es real y no fruto de la casualidad estadística.</w:t>
      </w:r>
    </w:p>
    <w:p>
      <w:pPr>
        <w:pStyle w:val="Heading3"/>
        <w:keepNext/>
        <w:spacing w:before="140" w:after="40"/>
      </w:pPr>
      <w:r>
        <w:t xml:space="preserve">6. Errores comunes a evitar</w:t>
      </w:r>
    </w:p>
    <w:p>
      <w:pPr>
        <w:spacing w:before="20" w:after="20"/>
        <w:ind w:left="420" w:hanging="260"/>
      </w:pPr>
      <w:r>
        <w:rPr>
          <w:color w:val="2E74B5"/>
        </w:rPr>
        <w:t xml:space="preserve">•  </w:t>
      </w:r>
      <w:r>
        <w:t xml:space="preserve">Usar solo el porcentaje de acuerdo global (</w:t>
      </w:r>
      <w:r>
        <w:t xml:space="preserve">86%</w:t>
      </w:r>
      <w:r>
        <w:t xml:space="preserve">), el cual sobreestima la fiabilidad al no descontar el azar 27-29.</w:t>
      </w:r>
    </w:p>
    <w:p>
      <w:pPr>
        <w:pStyle w:val="Heading1"/>
        <w:keepNext/>
        <w:spacing w:before="0" w:after="120"/>
        <w:pBdr>
          <w:bottom w:val="single" w:sz="6" w:space="2" w:color="C0C0C0"/>
        </w:pBdr>
      </w:pPr>
      <w:r>
        <w:br w:type="page"/>
      </w:r>
      <w:r>
        <w:t xml:space="preserve">TEMA 2 — ENSAYOS CLÍNICOS Y ESTUDIOS DE INTERVENCIÓN</w:t>
      </w:r>
    </w:p>
    <w:p>
      <w:pPr>
        <w:spacing w:after="80"/>
      </w:pPr>
      <w:r>
        <w:t xml:space="preserve">El ensayo clínico es la metodología estándar para verificar la seguridad y eficacia de un fármaco o procedimiento 33, 34. Se basa en la aleatorización para controlar sesgos de selección y el doble ciego para minimizar sesgos de información 35-38.</w:t>
      </w:r>
    </w:p>
    <w:p>
      <w:pPr>
        <w:pStyle w:val="Heading2"/>
        <w:keepNext/>
        <w:spacing w:before="200" w:after="80"/>
      </w:pPr>
      <w:r>
        <w:t xml:space="preserve">EJERCICIO 2A: MÉTRICAS DE EFICACIA EN TRATAMIENTO</w:t>
      </w:r>
    </w:p>
    <w:p>
      <w:pPr>
        <w:pStyle w:val="Heading3"/>
        <w:keepNext/>
        <w:spacing w:before="140" w:after="40"/>
      </w:pPr>
      <w:r>
        <w:t xml:space="preserve">1. Enunciado</w:t>
      </w:r>
    </w:p>
    <w:p>
      <w:pPr>
        <w:spacing w:after="60"/>
        <w:ind w:left="120"/>
      </w:pPr>
      <w:r>
        <w:t xml:space="preserve">En un ensayo para colon espástico con </w:t>
      </w:r>
      <w:r>
        <w:t xml:space="preserve">200</w:t>
      </w:r>
      <w:r>
        <w:t xml:space="preserve"> pacientes (</w:t>
      </w:r>
      <w:r>
        <w:t xml:space="preserve">100</w:t>
      </w:r>
      <w:r>
        <w:t xml:space="preserve"> por grupo), el Grupo A (experimental) tuvo </w:t>
      </w:r>
      <w:r>
        <w:t xml:space="preserve">20</w:t>
      </w:r>
      <w:r>
        <w:t xml:space="preserve"> recidivas y el Grupo B (control) tuvo </w:t>
      </w:r>
      <w:r>
        <w:t xml:space="preserve">50</w:t>
      </w:r>
      <w:r>
        <w:t xml:space="preserve"> 39, 40.</w:t>
      </w:r>
    </w:p>
    <w:p>
      <w:pPr>
        <w:pStyle w:val="Heading3"/>
        <w:keepNext/>
        <w:spacing w:before="140" w:after="40"/>
      </w:pPr>
      <w:r>
        <w:t xml:space="preserve">2. Fórmulas</w:t>
      </w:r>
    </w:p>
    <w:p>
      <w:pPr>
        <w:spacing w:before="20" w:after="20"/>
        <w:ind w:left="420" w:hanging="260"/>
      </w:pPr>
      <w:r>
        <w:rPr>
          <w:color w:val="2E74B5"/>
        </w:rPr>
        <w:t xml:space="preserve">•  </w:t>
      </w:r>
      <w:r>
        <w:rPr>
          <w:b/>
        </w:rPr>
        <w:t xml:space="preserve">Incidencias:</w:t>
      </w:r>
      <w:r>
        <w:t xml:space="preserve"> </w:t>
      </w:r>
      <w:r>
        <w:t xml:space="preserve">Ie = a / (a+b)</w:t>
      </w:r>
      <w:r>
        <w:t xml:space="preserve">; </w:t>
      </w:r>
      <w:r>
        <w:t xml:space="preserve">Io = c / (c+d)</w:t>
      </w:r>
      <w:r>
        <w:t xml:space="preserve"> 41, 42.</w:t>
      </w:r>
    </w:p>
    <w:p>
      <w:pPr>
        <w:spacing w:before="20" w:after="20"/>
        <w:ind w:left="420" w:hanging="260"/>
      </w:pPr>
      <w:r>
        <w:rPr>
          <w:color w:val="2E74B5"/>
        </w:rPr>
        <w:t xml:space="preserve">•  </w:t>
      </w:r>
      <w:r>
        <w:rPr>
          <w:b/>
        </w:rPr>
        <w:t xml:space="preserve">RR:</w:t>
      </w:r>
      <w:r>
        <w:t xml:space="preserve"> </w:t>
      </w:r>
      <w:r>
        <w:t xml:space="preserve">Ie / Io</w:t>
      </w:r>
      <w:r>
        <w:t xml:space="preserve"> 41, 42.</w:t>
      </w:r>
    </w:p>
    <w:p>
      <w:pPr>
        <w:spacing w:before="20" w:after="20"/>
        <w:ind w:left="420" w:hanging="260"/>
      </w:pPr>
      <w:r>
        <w:rPr>
          <w:color w:val="2E74B5"/>
        </w:rPr>
        <w:t xml:space="preserve">•  </w:t>
      </w:r>
      <w:r>
        <w:rPr>
          <w:b/>
        </w:rPr>
        <w:t xml:space="preserve">RRR:</w:t>
      </w:r>
      <w:r>
        <w:t xml:space="preserve"> </w:t>
      </w:r>
      <w:r>
        <w:t xml:space="preserve">(1 - RR) × 100</w:t>
      </w:r>
      <w:r>
        <w:t xml:space="preserve"> 41, 42.</w:t>
      </w:r>
    </w:p>
    <w:p>
      <w:pPr>
        <w:spacing w:before="20" w:after="20"/>
        <w:ind w:left="420" w:hanging="260"/>
      </w:pPr>
      <w:r>
        <w:rPr>
          <w:color w:val="2E74B5"/>
        </w:rPr>
        <w:t xml:space="preserve">•  </w:t>
      </w:r>
      <w:r>
        <w:rPr>
          <w:b/>
        </w:rPr>
        <w:t xml:space="preserve">RAR:</w:t>
      </w:r>
      <w:r>
        <w:t xml:space="preserve"> </w:t>
      </w:r>
      <w:r>
        <w:t xml:space="preserve">Io - Ie</w:t>
      </w:r>
      <w:r>
        <w:t xml:space="preserve"> 43, 44.</w:t>
      </w:r>
    </w:p>
    <w:p>
      <w:pPr>
        <w:spacing w:before="20" w:after="20"/>
        <w:ind w:left="420" w:hanging="260"/>
      </w:pPr>
      <w:r>
        <w:rPr>
          <w:color w:val="2E74B5"/>
        </w:rPr>
        <w:t xml:space="preserve">•  </w:t>
      </w:r>
      <w:r>
        <w:rPr>
          <w:b/>
        </w:rPr>
        <w:t xml:space="preserve">NNT:</w:t>
      </w:r>
      <w:r>
        <w:t xml:space="preserve"> </w:t>
      </w:r>
      <w:r>
        <w:t xml:space="preserve">1 / RAR</w:t>
      </w:r>
      <w:r>
        <w:t xml:space="preserve"> 43, 44.</w:t>
      </w:r>
    </w:p>
    <w:p>
      <w:pPr>
        <w:pStyle w:val="Heading3"/>
        <w:keepNext/>
        <w:spacing w:before="140" w:after="40"/>
      </w:pPr>
      <w:r>
        <w:t xml:space="preserve">3. Procedimiento paso a paso</w:t>
      </w:r>
    </w:p>
    <w:p>
      <w:pPr>
        <w:spacing w:before="20" w:after="20"/>
        <w:ind w:left="420" w:hanging="260"/>
      </w:pPr>
      <w:r>
        <w:rPr>
          <w:color w:val="2E74B5"/>
        </w:rPr>
        <w:t xml:space="preserve">•  </w:t>
      </w:r>
      <w:r>
        <w:t xml:space="preserve">Ie = 20/100 = 0,20</w:t>
      </w:r>
      <w:r>
        <w:t xml:space="preserve">; </w:t>
      </w:r>
      <w:r>
        <w:t xml:space="preserve">Io = 50/100 = 0,50</w:t>
      </w:r>
      <w:r>
        <w:t xml:space="preserve"> 39, 40.</w:t>
      </w:r>
    </w:p>
    <w:p>
      <w:pPr>
        <w:spacing w:before="20" w:after="20"/>
        <w:ind w:left="420" w:hanging="260"/>
      </w:pPr>
      <w:r>
        <w:rPr>
          <w:color w:val="2E74B5"/>
        </w:rPr>
        <w:t xml:space="preserve">•  </w:t>
      </w:r>
      <w:r>
        <w:rPr>
          <w:b/>
        </w:rPr>
        <w:t xml:space="preserve">RR:</w:t>
      </w:r>
      <w:r>
        <w:t xml:space="preserve"> </w:t>
      </w:r>
      <w:r>
        <w:t xml:space="preserve">0,20 / 0,50 = 0,40</w:t>
      </w:r>
      <w:r>
        <w:t xml:space="preserve">.</w:t>
      </w:r>
    </w:p>
    <w:p>
      <w:pPr>
        <w:spacing w:before="20" w:after="20"/>
        <w:ind w:left="420" w:hanging="260"/>
      </w:pPr>
      <w:r>
        <w:rPr>
          <w:color w:val="2E74B5"/>
        </w:rPr>
        <w:t xml:space="preserve">•  </w:t>
      </w:r>
      <w:r>
        <w:rPr>
          <w:b/>
        </w:rPr>
        <w:t xml:space="preserve">RRR:</w:t>
      </w:r>
      <w:r>
        <w:t xml:space="preserve"> </w:t>
      </w:r>
      <w:r>
        <w:t xml:space="preserve">(1 - 0,40) × 100 = 60%</w:t>
      </w:r>
      <w:r>
        <w:t xml:space="preserve">.</w:t>
      </w:r>
    </w:p>
    <w:p>
      <w:pPr>
        <w:spacing w:before="20" w:after="20"/>
        <w:ind w:left="420" w:hanging="260"/>
      </w:pPr>
      <w:r>
        <w:rPr>
          <w:color w:val="2E74B5"/>
        </w:rPr>
        <w:t xml:space="preserve">•  </w:t>
      </w:r>
      <w:r>
        <w:rPr>
          <w:b/>
        </w:rPr>
        <w:t xml:space="preserve">RAR:</w:t>
      </w:r>
      <w:r>
        <w:t xml:space="preserve"> </w:t>
      </w:r>
      <w:r>
        <w:t xml:space="preserve">0,50 - 0,20 = 0,30</w:t>
      </w:r>
      <w:r>
        <w:t xml:space="preserve"> (</w:t>
      </w:r>
      <w:r>
        <w:t xml:space="preserve">30%</w:t>
      </w:r>
      <w:r>
        <w:t xml:space="preserve">).</w:t>
      </w:r>
    </w:p>
    <w:p>
      <w:pPr>
        <w:spacing w:before="20" w:after="20"/>
        <w:ind w:left="420" w:hanging="260"/>
      </w:pPr>
      <w:r>
        <w:rPr>
          <w:color w:val="2E74B5"/>
        </w:rPr>
        <w:t xml:space="preserve">•  </w:t>
      </w:r>
      <w:r>
        <w:rPr>
          <w:b/>
        </w:rPr>
        <w:t xml:space="preserve">NNT:</w:t>
      </w:r>
      <w:r>
        <w:t xml:space="preserve"> </w:t>
      </w:r>
      <w:r>
        <w:t xml:space="preserve">1 / 0,30 = 3,33 →</w:t>
      </w:r>
      <w:r>
        <w:t xml:space="preserve"> se redondea al entero superior: </w:t>
      </w:r>
      <w:r>
        <w:t xml:space="preserve">4</w:t>
      </w:r>
      <w:r>
        <w:t xml:space="preserve"> 40, 43, 45-47.</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RR:</w:t>
      </w:r>
      <w:r>
        <w:t xml:space="preserve"> </w:t>
      </w:r>
      <w:r>
        <w:t xml:space="preserve">0,40</w:t>
      </w:r>
      <w:r>
        <w:t xml:space="preserve">; RRR: </w:t>
      </w:r>
      <w:r>
        <w:t xml:space="preserve">60%</w:t>
      </w:r>
      <w:r>
        <w:t xml:space="preserve">; RAR: </w:t>
      </w:r>
      <w:r>
        <w:t xml:space="preserve">30%</w:t>
      </w:r>
      <w:r>
        <w:t xml:space="preserve">; NNT: </w:t>
      </w:r>
      <w:r>
        <w:t xml:space="preserve">4</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rPr>
          <w:b/>
        </w:rPr>
        <w:t xml:space="preserve">RR:</w:t>
      </w:r>
      <w:r>
        <w:t xml:space="preserve"> El riesgo de recidiva con el tratamiento A es solo el </w:t>
      </w:r>
      <w:r>
        <w:t xml:space="preserve">40%</w:t>
      </w:r>
      <w:r>
        <w:t xml:space="preserve"> del riesgo con el tratamiento B.</w:t>
      </w:r>
    </w:p>
    <w:p>
      <w:pPr>
        <w:spacing w:before="20" w:after="20"/>
        <w:ind w:left="420" w:hanging="260"/>
      </w:pPr>
      <w:r>
        <w:rPr>
          <w:color w:val="2E74B5"/>
        </w:rPr>
        <w:t xml:space="preserve">•  </w:t>
      </w:r>
      <w:r>
        <w:rPr>
          <w:b/>
        </w:rPr>
        <w:t xml:space="preserve">RRR:</w:t>
      </w:r>
      <w:r>
        <w:t xml:space="preserve"> El nuevo fármaco reduce el riesgo relativo en un </w:t>
      </w:r>
      <w:r>
        <w:t xml:space="preserve">60%</w:t>
      </w:r>
      <w:r>
        <w:t xml:space="preserve">.</w:t>
      </w:r>
    </w:p>
    <w:p>
      <w:pPr>
        <w:spacing w:before="20" w:after="20"/>
        <w:ind w:left="420" w:hanging="260"/>
      </w:pPr>
      <w:r>
        <w:rPr>
          <w:color w:val="2E74B5"/>
        </w:rPr>
        <w:t xml:space="preserve">•  </w:t>
      </w:r>
      <w:r>
        <w:rPr>
          <w:b/>
        </w:rPr>
        <w:t xml:space="preserve">RAR:</w:t>
      </w:r>
      <w:r>
        <w:t xml:space="preserve"> Se evitan </w:t>
      </w:r>
      <w:r>
        <w:t xml:space="preserve">30</w:t>
      </w:r>
      <w:r>
        <w:t xml:space="preserve"> recidivas por cada </w:t>
      </w:r>
      <w:r>
        <w:t xml:space="preserve">100</w:t>
      </w:r>
      <w:r>
        <w:t xml:space="preserve"> pacientes tratados 40, 45.</w:t>
      </w:r>
    </w:p>
    <w:p>
      <w:pPr>
        <w:spacing w:before="20" w:after="20"/>
        <w:ind w:left="420" w:hanging="260"/>
      </w:pPr>
      <w:r>
        <w:rPr>
          <w:color w:val="2E74B5"/>
        </w:rPr>
        <w:t xml:space="preserve">•  </w:t>
      </w:r>
      <w:r>
        <w:rPr>
          <w:b/>
        </w:rPr>
        <w:t xml:space="preserve">NNT:</w:t>
      </w:r>
      <w:r>
        <w:t xml:space="preserve"> Es necesario tratar a 4 pacientes para evitar una recidiva adicional. Dado que </w:t>
      </w:r>
      <w:r>
        <w:t xml:space="preserve">4 ≤ 15</w:t>
      </w:r>
      <w:r>
        <w:t xml:space="preserve">, la relevancia clínica es alta 46, 47.</w:t>
      </w:r>
    </w:p>
    <w:p>
      <w:pPr>
        <w:pStyle w:val="Heading3"/>
        <w:keepNext/>
        <w:spacing w:before="140" w:after="40"/>
      </w:pPr>
      <w:r>
        <w:t xml:space="preserve">6. Errores comunes a evitar</w:t>
      </w:r>
    </w:p>
    <w:p>
      <w:pPr>
        <w:spacing w:before="20" w:after="20"/>
        <w:ind w:left="420" w:hanging="260"/>
      </w:pPr>
      <w:r>
        <w:rPr>
          <w:color w:val="2E74B5"/>
        </w:rPr>
        <w:t xml:space="preserve">•  </w:t>
      </w:r>
      <w:r>
        <w:t xml:space="preserve">Reportar solo la RRR. Si la incidencia basal fuera muy baja, una RRR del </w:t>
      </w:r>
      <w:r>
        <w:t xml:space="preserve">60%</w:t>
      </w:r>
      <w:r>
        <w:t xml:space="preserve"> podría tener un NNT de </w:t>
      </w:r>
      <w:r>
        <w:t xml:space="preserve">250</w:t>
      </w:r>
      <w:r>
        <w:t xml:space="preserve">, careciendo de impacto real 48, 49.</w:t>
      </w:r>
    </w:p>
    <w:p>
      <w:pPr>
        <w:spacing w:before="20" w:after="20"/>
        <w:ind w:left="420" w:hanging="260"/>
      </w:pPr>
      <w:r>
        <w:rPr>
          <w:color w:val="2E74B5"/>
        </w:rPr>
        <w:t xml:space="preserve">•  </w:t>
      </w:r>
      <w:r>
        <w:t xml:space="preserve">No redondear el NNT siempre hacia arriba para no sobreestimar el beneficio 50.</w:t>
      </w:r>
    </w:p>
    <w:p>
      <w:pPr>
        <w:pStyle w:val="Heading2"/>
        <w:keepNext/>
        <w:spacing w:before="200" w:after="80"/>
      </w:pPr>
      <w:r>
        <w:t xml:space="preserve">EJERCICIO 2B: MÉTRICAS DE SEGURIDAD (DAÑO)</w:t>
      </w:r>
    </w:p>
    <w:p>
      <w:pPr>
        <w:pStyle w:val="Heading3"/>
        <w:keepNext/>
        <w:spacing w:before="140" w:after="40"/>
      </w:pPr>
      <w:r>
        <w:t xml:space="preserve">1. Enunciado</w:t>
      </w:r>
    </w:p>
    <w:p>
      <w:pPr>
        <w:spacing w:after="60"/>
        <w:ind w:left="120"/>
      </w:pPr>
      <w:r>
        <w:t xml:space="preserve">Una nueva técnica quirúrgica causa cicatrización inadecuada en </w:t>
      </w:r>
      <w:r>
        <w:t xml:space="preserve">15</w:t>
      </w:r>
      <w:r>
        <w:t xml:space="preserve"> de </w:t>
      </w:r>
      <w:r>
        <w:t xml:space="preserve">150</w:t>
      </w:r>
      <w:r>
        <w:t xml:space="preserve"> pacientes, mientras que la técnica convencional solo la causa en </w:t>
      </w:r>
      <w:r>
        <w:t xml:space="preserve">5</w:t>
      </w:r>
      <w:r>
        <w:t xml:space="preserve"> de </w:t>
      </w:r>
      <w:r>
        <w:t xml:space="preserve">150</w:t>
      </w:r>
      <w:r>
        <w:t xml:space="preserve"> 51-53.</w:t>
      </w:r>
    </w:p>
    <w:p>
      <w:pPr>
        <w:pStyle w:val="Heading3"/>
        <w:keepNext/>
        <w:spacing w:before="140" w:after="40"/>
      </w:pPr>
      <w:r>
        <w:t xml:space="preserve">2. Fórmulas</w:t>
      </w:r>
    </w:p>
    <w:p>
      <w:pPr>
        <w:spacing w:before="20" w:after="20"/>
        <w:ind w:left="420" w:hanging="260"/>
      </w:pPr>
      <w:r>
        <w:rPr>
          <w:color w:val="2E74B5"/>
        </w:rPr>
        <w:t xml:space="preserve">•  </w:t>
      </w:r>
      <w:r>
        <w:rPr>
          <w:b/>
        </w:rPr>
        <w:t xml:space="preserve">ARA (Aumento del Riesgo Absoluto):</w:t>
      </w:r>
      <w:r>
        <w:t xml:space="preserve"> </w:t>
      </w:r>
      <w:r>
        <w:t xml:space="preserve">Ie - Io</w:t>
      </w:r>
      <w:r>
        <w:t xml:space="preserve"> 52, 54, 55.</w:t>
      </w:r>
    </w:p>
    <w:p>
      <w:pPr>
        <w:spacing w:before="20" w:after="20"/>
        <w:ind w:left="420" w:hanging="260"/>
      </w:pPr>
      <w:r>
        <w:rPr>
          <w:color w:val="2E74B5"/>
        </w:rPr>
        <w:t xml:space="preserve">•  </w:t>
      </w:r>
      <w:r>
        <w:rPr>
          <w:b/>
        </w:rPr>
        <w:t xml:space="preserve">NNH (Número Necesario para Dañar):</w:t>
      </w:r>
      <w:r>
        <w:t xml:space="preserve"> </w:t>
      </w:r>
      <w:r>
        <w:t xml:space="preserve">1 / ARA</w:t>
      </w:r>
      <w:r>
        <w:t xml:space="preserve"> 52, 55, 56.</w:t>
      </w:r>
    </w:p>
    <w:p>
      <w:pPr>
        <w:pStyle w:val="Heading3"/>
        <w:keepNext/>
        <w:spacing w:before="140" w:after="40"/>
      </w:pPr>
      <w:r>
        <w:t xml:space="preserve">3. Procedimiento paso a paso</w:t>
      </w:r>
    </w:p>
    <w:p>
      <w:pPr>
        <w:spacing w:before="20" w:after="20"/>
        <w:ind w:left="420" w:hanging="260"/>
      </w:pPr>
      <w:r>
        <w:rPr>
          <w:color w:val="2E74B5"/>
        </w:rPr>
        <w:t xml:space="preserve">•  </w:t>
      </w:r>
      <w:r>
        <w:t xml:space="preserve">Ie = 15/150 = 0,10</w:t>
      </w:r>
      <w:r>
        <w:t xml:space="preserve">; </w:t>
      </w:r>
      <w:r>
        <w:t xml:space="preserve">Io = 5/150 = 0,033</w:t>
      </w:r>
      <w:r>
        <w:t xml:space="preserve">.</w:t>
      </w:r>
    </w:p>
    <w:p>
      <w:pPr>
        <w:spacing w:before="20" w:after="20"/>
        <w:ind w:left="420" w:hanging="260"/>
      </w:pPr>
      <w:r>
        <w:rPr>
          <w:color w:val="2E74B5"/>
        </w:rPr>
        <w:t xml:space="preserve">•  </w:t>
      </w:r>
      <w:r>
        <w:rPr>
          <w:b/>
        </w:rPr>
        <w:t xml:space="preserve">ARA:</w:t>
      </w:r>
      <w:r>
        <w:t xml:space="preserve"> </w:t>
      </w:r>
      <w:r>
        <w:t xml:space="preserve">0,10 - 0,033 = 0,067</w:t>
      </w:r>
      <w:r>
        <w:t xml:space="preserve"> (</w:t>
      </w:r>
      <w:r>
        <w:t xml:space="preserve">6,7%</w:t>
      </w:r>
      <w:r>
        <w:t xml:space="preserve">) 52.</w:t>
      </w:r>
    </w:p>
    <w:p>
      <w:pPr>
        <w:spacing w:before="20" w:after="20"/>
        <w:ind w:left="420" w:hanging="260"/>
      </w:pPr>
      <w:r>
        <w:rPr>
          <w:color w:val="2E74B5"/>
        </w:rPr>
        <w:t xml:space="preserve">•  </w:t>
      </w:r>
      <w:r>
        <w:rPr>
          <w:b/>
        </w:rPr>
        <w:t xml:space="preserve">NNH:</w:t>
      </w:r>
      <w:r>
        <w:t xml:space="preserve"> </w:t>
      </w:r>
      <w:r>
        <w:t xml:space="preserve">1 / 0,067 = 14,9 → 15</w:t>
      </w:r>
      <w:r>
        <w:t xml:space="preserve"> 52.</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ARA:</w:t>
      </w:r>
      <w:r>
        <w:t xml:space="preserve"> </w:t>
      </w:r>
      <w:r>
        <w:t xml:space="preserve">6,7%</w:t>
      </w:r>
      <w:r>
        <w:t xml:space="preserve">; NNH: </w:t>
      </w:r>
      <w:r>
        <w:t xml:space="preserve">15</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t xml:space="preserve">Por cada </w:t>
      </w:r>
      <w:r>
        <w:t xml:space="preserve">15</w:t>
      </w:r>
      <w:r>
        <w:t xml:space="preserve"> pacientes intervenidos con la nueva técnica, 1 paciente sufrirá una complicación de cicatrización que no habría ocurrido con la técnica convencional 52. Este riesgo debe balancearse contra el beneficio de la cirugía.</w:t>
      </w:r>
    </w:p>
    <w:p>
      <w:pPr>
        <w:pStyle w:val="Heading3"/>
        <w:keepNext/>
        <w:spacing w:before="140" w:after="40"/>
      </w:pPr>
      <w:r>
        <w:t xml:space="preserve">6. Errores comunes a evitar</w:t>
      </w:r>
    </w:p>
    <w:p>
      <w:pPr>
        <w:spacing w:before="20" w:after="20"/>
        <w:ind w:left="420" w:hanging="260"/>
      </w:pPr>
      <w:r>
        <w:rPr>
          <w:color w:val="2E74B5"/>
        </w:rPr>
        <w:t xml:space="preserve">•  </w:t>
      </w:r>
      <w:r>
        <w:t xml:space="preserve">Ignorar el NNH. Una técnica puede ser muy eficaz para curar pero extremadamente dañina en sus efectos secundarios 52, 55, 56.</w:t>
      </w:r>
    </w:p>
    <w:p>
      <w:pPr>
        <w:pStyle w:val="Heading2"/>
        <w:keepNext/>
        <w:spacing w:before="200" w:after="80"/>
      </w:pPr>
      <w:r>
        <w:t xml:space="preserve">EJERCICIO 2C: EFICACIA VACUNAL (EV)</w:t>
      </w:r>
    </w:p>
    <w:p>
      <w:pPr>
        <w:pStyle w:val="Heading3"/>
        <w:keepNext/>
        <w:spacing w:before="140" w:after="40"/>
      </w:pPr>
      <w:r>
        <w:t xml:space="preserve">1. Enunciado</w:t>
      </w:r>
    </w:p>
    <w:p>
      <w:pPr>
        <w:spacing w:after="60"/>
        <w:ind w:left="120"/>
      </w:pPr>
      <w:r>
        <w:t xml:space="preserve">En una campaña, la incidencia de enfermedad en vacunados (</w:t>
      </w:r>
      <w:r>
        <w:t xml:space="preserve">Ie</w:t>
      </w:r>
      <w:r>
        <w:t xml:space="preserve">) es del </w:t>
      </w:r>
      <w:r>
        <w:t xml:space="preserve">2%</w:t>
      </w:r>
      <w:r>
        <w:t xml:space="preserve"> y en no vacunados (</w:t>
      </w:r>
      <w:r>
        <w:t xml:space="preserve">Io</w:t>
      </w:r>
      <w:r>
        <w:t xml:space="preserve">) es del </w:t>
      </w:r>
      <w:r>
        <w:t xml:space="preserve">10%</w:t>
      </w:r>
      <w:r>
        <w:t xml:space="preserve">.</w:t>
      </w:r>
    </w:p>
    <w:p>
      <w:pPr>
        <w:pStyle w:val="Heading3"/>
        <w:keepNext/>
        <w:spacing w:before="140" w:after="40"/>
      </w:pPr>
      <w:r>
        <w:t xml:space="preserve">2. Fórmula</w:t>
      </w:r>
    </w:p>
    <w:p>
      <w:pPr>
        <w:spacing w:before="20" w:after="20"/>
        <w:ind w:left="420" w:hanging="260"/>
      </w:pPr>
      <w:r>
        <w:rPr>
          <w:color w:val="2E74B5"/>
        </w:rPr>
        <w:t xml:space="preserve">•  </w:t>
      </w:r>
      <w:r>
        <w:rPr>
          <w:b/>
        </w:rPr>
        <w:t xml:space="preserve">EV:</w:t>
      </w:r>
      <w:r>
        <w:t xml:space="preserve"> </w:t>
      </w:r>
      <w:r>
        <w:t xml:space="preserve">(Io - Ie) / Io × 100</w:t>
      </w:r>
      <w:r>
        <w:t xml:space="preserve"> 50.</w:t>
      </w:r>
    </w:p>
    <w:p>
      <w:pPr>
        <w:pStyle w:val="Heading3"/>
        <w:keepNext/>
        <w:spacing w:before="140" w:after="40"/>
      </w:pPr>
      <w:r>
        <w:t xml:space="preserve">3. Procedimiento paso a paso</w:t>
      </w:r>
    </w:p>
    <w:p>
      <w:pPr>
        <w:spacing w:before="20" w:after="20"/>
        <w:ind w:left="420" w:hanging="260"/>
      </w:pPr>
      <w:r>
        <w:rPr>
          <w:color w:val="2E74B5"/>
        </w:rPr>
        <w:t xml:space="preserve">•  </w:t>
      </w:r>
      <w:r>
        <w:t xml:space="preserve">EV = (0,10 - 0,02) / 0,10 × 100 = 0,08 / 0,10 × 100 = 80%</w:t>
      </w:r>
      <w:r>
        <w:t xml:space="preserve">.</w:t>
      </w:r>
    </w:p>
    <w:p>
      <w:pPr>
        <w:spacing w:before="20" w:after="20"/>
        <w:ind w:left="420" w:hanging="260"/>
      </w:pPr>
      <w:r>
        <w:rPr>
          <w:color w:val="2E74B5"/>
        </w:rPr>
        <w:t xml:space="preserve">•  </w:t>
      </w:r>
      <w:r>
        <w:rPr>
          <w:b/>
        </w:rPr>
        <w:t xml:space="preserve">RAR:</w:t>
      </w:r>
      <w:r>
        <w:t xml:space="preserve"> </w:t>
      </w:r>
      <w:r>
        <w:t xml:space="preserve">0,10 - 0,02 = 0,08</w:t>
      </w:r>
      <w:r>
        <w:t xml:space="preserve"> (</w:t>
      </w:r>
      <w:r>
        <w:t xml:space="preserve">8%</w:t>
      </w:r>
      <w:r>
        <w:t xml:space="preserve">).</w:t>
      </w:r>
    </w:p>
    <w:p>
      <w:pPr>
        <w:spacing w:before="20" w:after="20"/>
        <w:ind w:left="420" w:hanging="260"/>
      </w:pPr>
      <w:r>
        <w:rPr>
          <w:color w:val="2E74B5"/>
        </w:rPr>
        <w:t xml:space="preserve">•  </w:t>
      </w:r>
      <w:r>
        <w:rPr>
          <w:b/>
        </w:rPr>
        <w:t xml:space="preserve">NNT:</w:t>
      </w:r>
      <w:r>
        <w:t xml:space="preserve"> </w:t>
      </w:r>
      <w:r>
        <w:t xml:space="preserve">1 / 0,08 = 12,5 → 13</w:t>
      </w:r>
      <w:r>
        <w:t xml:space="preserve"> personas.</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EV:</w:t>
      </w:r>
      <w:r>
        <w:t xml:space="preserve"> </w:t>
      </w:r>
      <w:r>
        <w:t xml:space="preserve">80%</w:t>
      </w:r>
      <w:r>
        <w:t xml:space="preserve">; NNT: </w:t>
      </w:r>
      <w:r>
        <w:t xml:space="preserve">13</w:t>
      </w:r>
      <w:r>
        <w:t xml:space="preserve">.</w:t>
      </w:r>
    </w:p>
    <w:p>
      <w:pPr>
        <w:pStyle w:val="Heading3"/>
        <w:keepNext/>
        <w:spacing w:before="140" w:after="40"/>
      </w:pPr>
      <w:r>
        <w:t xml:space="preserve">5. Interpretación clínica</w:t>
      </w:r>
    </w:p>
    <w:p>
      <w:pPr>
        <w:spacing w:before="20" w:after="20"/>
        <w:ind w:left="420" w:hanging="260"/>
      </w:pPr>
      <w:r>
        <w:rPr>
          <w:color w:val="2E74B5"/>
        </w:rPr>
        <w:t xml:space="preserve">•  </w:t>
      </w:r>
      <w:r>
        <w:t xml:space="preserve">La vacuna reduce en un </w:t>
      </w:r>
      <w:r>
        <w:t xml:space="preserve">80%</w:t>
      </w:r>
      <w:r>
        <w:t xml:space="preserve"> el riesgo de enfermar en comparación con no estar vacunado. Es necesario vacunar a 13 personas para prevenir un caso de la enfermedad.</w:t>
      </w:r>
    </w:p>
    <w:p>
      <w:pPr>
        <w:pStyle w:val="Heading3"/>
        <w:keepNext/>
        <w:spacing w:before="140" w:after="40"/>
      </w:pPr>
      <w:r>
        <w:t xml:space="preserve">6. Errores comunes a evitar</w:t>
      </w:r>
    </w:p>
    <w:p>
      <w:pPr>
        <w:spacing w:before="20" w:after="20"/>
        <w:ind w:left="420" w:hanging="260"/>
      </w:pPr>
      <w:r>
        <w:rPr>
          <w:color w:val="2E74B5"/>
        </w:rPr>
        <w:t xml:space="preserve">•  </w:t>
      </w:r>
      <w:r>
        <w:t xml:space="preserve">Confundir Eficacia Vacunal con RAR. La EV es una medida relativa (proporcional), mientras que el RAR es la diferencia absoluta de puntos porcentuales 50.</w:t>
      </w:r>
    </w:p>
    <w:p>
      <w:pPr>
        <w:pStyle w:val="Heading1"/>
        <w:keepNext/>
        <w:spacing w:before="0" w:after="160"/>
        <w:pBdr>
          <w:bottom w:val="single" w:sz="6" w:space="2" w:color="C0C0C0"/>
        </w:pBdr>
        <w:jc w:val="center"/>
      </w:pPr>
      <w:r>
        <w:br w:type="page"/>
      </w:r>
      <w:r>
        <w:t xml:space="preserve">GUÍA TÉCNICA DE EJERCICIOS RESUELTOS: EPIDEMIOLOGÍA CLÍNICA Y BIOESTADÍSTICA</w:t>
      </w:r>
    </w:p>
    <w:p>
      <w:pPr>
        <w:spacing w:after="80"/>
      </w:pPr>
      <w:r>
        <w:t xml:space="preserve">Como transcriptor académico especializado, presento esta guía de ejercicios diseñada bajo los más estrictos estándares de rigor científico. El contenido se deriva íntegramente de las fuentes documentales y busca desarrollar la competencia analítica en epidemiología de campo, pronóstico y síntesis de evidencia.</w:t>
      </w:r>
    </w:p>
    <w:p>
      <w:pPr>
        <w:pStyle w:val="Heading1"/>
        <w:keepNext/>
        <w:spacing w:before="0" w:after="120"/>
        <w:pBdr>
          <w:bottom w:val="single" w:sz="6" w:space="2" w:color="C0C0C0"/>
        </w:pBdr>
      </w:pPr>
      <w:r>
        <w:br w:type="page"/>
      </w:r>
      <w:r>
        <w:t xml:space="preserve">TEMA 3 — EPIDEMIOLOGÍA DE CAMPO: BROTES Y EPIDEMIAS</w:t>
      </w:r>
    </w:p>
    <w:p>
      <w:pPr>
        <w:spacing w:after="80"/>
      </w:pPr>
      <w:r>
        <w:t xml:space="preserve">La investigación de campo es una actividad ágil que busca identificar la fuente y el modo de transmisión para implementar medidas de control inmediatas.</w:t>
      </w:r>
    </w:p>
    <w:p>
      <w:pPr>
        <w:pStyle w:val="Heading2"/>
        <w:keepNext/>
        <w:spacing w:before="200" w:after="80"/>
      </w:pPr>
      <w:r>
        <w:t xml:space="preserve">EJERCICIO 3A: IDENTIFICACIÓN DEL VEHÍCULO DE TRANSMISIÓN (BROTE ALIMENTARIO)</w:t>
      </w:r>
    </w:p>
    <w:p>
      <w:pPr>
        <w:pStyle w:val="Heading3"/>
        <w:keepNext/>
        <w:spacing w:before="140" w:after="40"/>
      </w:pPr>
      <w:r>
        <w:t xml:space="preserve">1. Enunciado</w:t>
      </w:r>
    </w:p>
    <w:p>
      <w:pPr>
        <w:spacing w:after="60"/>
        <w:ind w:left="120"/>
      </w:pPr>
      <w:r>
        <w:t xml:space="preserve">Durante un convivio escolar con 150 estudiantes, se presentó un brote de gastroenteritis aguda. Se sospecha del pollo y la ensalada. Entre los 90 estudiantes que consumieron pollo, 63 enfermaron. Entre los 60 que no lo consumieron, solo 6 enfermaron.</w:t>
      </w:r>
    </w:p>
    <w:p>
      <w:pPr>
        <w:pStyle w:val="Heading3"/>
        <w:keepNext/>
        <w:spacing w:before="140" w:after="40"/>
      </w:pPr>
      <w:r>
        <w:t xml:space="preserve">2. Fórmula</w:t>
      </w:r>
    </w:p>
    <w:p>
      <w:pPr>
        <w:spacing w:before="20" w:after="20"/>
        <w:ind w:left="420" w:hanging="260"/>
      </w:pPr>
      <w:r>
        <w:rPr>
          <w:color w:val="2E74B5"/>
        </w:rPr>
        <w:t xml:space="preserve">•  </w:t>
      </w:r>
      <w:r>
        <w:rPr>
          <w:b/>
        </w:rPr>
        <w:t xml:space="preserve">Tasa de Ataque (TA):</w:t>
      </w:r>
      <w:r>
        <w:t xml:space="preserve"> </w:t>
      </w:r>
      <w:r>
        <w:t xml:space="preserve">Número de casos / Población expuesta al riesgo × 100</w:t>
      </w:r>
      <w:r>
        <w:t xml:space="preserve">.</w:t>
      </w:r>
    </w:p>
    <w:p>
      <w:pPr>
        <w:spacing w:before="20" w:after="20"/>
        <w:ind w:left="420" w:hanging="260"/>
      </w:pPr>
      <w:r>
        <w:rPr>
          <w:color w:val="2E74B5"/>
        </w:rPr>
        <w:t xml:space="preserve">•  </w:t>
      </w:r>
      <w:r>
        <w:rPr>
          <w:b/>
        </w:rPr>
        <w:t xml:space="preserve">Razón de Tasas de Ataque (RTA):</w:t>
      </w:r>
      <w:r>
        <w:t xml:space="preserve"> </w:t>
      </w:r>
      <w:r>
        <w:t xml:space="preserve">TA en expuestos / TA en no expuestos</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TA en expuestos al pollo:</w:t>
      </w:r>
      <w:r>
        <w:t xml:space="preserve"> </w:t>
      </w:r>
      <w:r>
        <w:t xml:space="preserve">63 / 90 = 0,70 → 70%</w:t>
      </w:r>
      <w:r>
        <w:t xml:space="preserve">.</w:t>
      </w:r>
    </w:p>
    <w:p>
      <w:pPr>
        <w:spacing w:before="20" w:after="20"/>
        <w:ind w:left="420" w:hanging="260"/>
      </w:pPr>
      <w:r>
        <w:rPr>
          <w:color w:val="2E74B5"/>
        </w:rPr>
        <w:t xml:space="preserve">•  </w:t>
      </w:r>
      <w:r>
        <w:rPr>
          <w:b/>
        </w:rPr>
        <w:t xml:space="preserve">TA en no expuestos al pollo:</w:t>
      </w:r>
      <w:r>
        <w:t xml:space="preserve"> </w:t>
      </w:r>
      <w:r>
        <w:t xml:space="preserve">6 / 60 = 0,10 → 10%</w:t>
      </w:r>
      <w:r>
        <w:t xml:space="preserve">.</w:t>
      </w:r>
    </w:p>
    <w:p>
      <w:pPr>
        <w:spacing w:before="20" w:after="20"/>
        <w:ind w:left="420" w:hanging="260"/>
      </w:pPr>
      <w:r>
        <w:rPr>
          <w:color w:val="2E74B5"/>
        </w:rPr>
        <w:t xml:space="preserve">•  </w:t>
      </w:r>
      <w:r>
        <w:rPr>
          <w:b/>
        </w:rPr>
        <w:t xml:space="preserve">RTA del pollo:</w:t>
      </w:r>
      <w:r>
        <w:t xml:space="preserve"> </w:t>
      </w:r>
      <w:r>
        <w:t xml:space="preserve">70% / 10% = 7,0</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TA Expuestos:</w:t>
      </w:r>
      <w:r>
        <w:t xml:space="preserve"> </w:t>
      </w:r>
      <w:r>
        <w:t xml:space="preserve">70%</w:t>
      </w:r>
      <w:r>
        <w:t xml:space="preserve">.</w:t>
      </w:r>
    </w:p>
    <w:p>
      <w:pPr>
        <w:spacing w:before="20" w:after="20"/>
        <w:ind w:left="420" w:hanging="260"/>
      </w:pPr>
      <w:r>
        <w:rPr>
          <w:color w:val="2E74B5"/>
        </w:rPr>
        <w:t xml:space="preserve">•  </w:t>
      </w:r>
      <w:r>
        <w:rPr>
          <w:b/>
        </w:rPr>
        <w:t xml:space="preserve">TA No Expuestos:</w:t>
      </w:r>
      <w:r>
        <w:t xml:space="preserve"> </w:t>
      </w:r>
      <w:r>
        <w:t xml:space="preserve">10%</w:t>
      </w:r>
      <w:r>
        <w:t xml:space="preserve">.</w:t>
      </w:r>
    </w:p>
    <w:p>
      <w:pPr>
        <w:spacing w:before="20" w:after="20"/>
        <w:ind w:left="420" w:hanging="260"/>
      </w:pPr>
      <w:r>
        <w:rPr>
          <w:color w:val="2E74B5"/>
        </w:rPr>
        <w:t xml:space="preserve">•  </w:t>
      </w:r>
      <w:r>
        <w:rPr>
          <w:b/>
        </w:rPr>
        <w:t xml:space="preserve">RTA:</w:t>
      </w:r>
      <w:r>
        <w:t xml:space="preserve"> </w:t>
      </w:r>
      <w:r>
        <w:t xml:space="preserve">7,0</w:t>
      </w:r>
      <w:r>
        <w:t xml:space="preserve">.</w:t>
      </w:r>
    </w:p>
    <w:p>
      <w:pPr>
        <w:pStyle w:val="Heading3"/>
        <w:keepNext/>
        <w:spacing w:before="140" w:after="40"/>
      </w:pPr>
      <w:r>
        <w:t xml:space="preserve">5. Interpretación clínica</w:t>
      </w:r>
    </w:p>
    <w:p>
      <w:pPr>
        <w:spacing w:after="60"/>
        <w:ind w:left="120"/>
      </w:pPr>
      <w:r>
        <w:t xml:space="preserve">Quienes consumieron el pollo tuvieron 7 veces más riesgo de enfermar en comparación con quienes no lo consumieron. Dado que la RTA es significativamente mayor a 1, el pollo se identifica como el vehículo probable del brote.</w:t>
      </w:r>
    </w:p>
    <w:p>
      <w:pPr>
        <w:pStyle w:val="Heading3"/>
        <w:keepNext/>
        <w:spacing w:before="140" w:after="40"/>
      </w:pPr>
      <w:r>
        <w:t xml:space="preserve">6. Errores comunes</w:t>
      </w:r>
    </w:p>
    <w:p>
      <w:pPr>
        <w:spacing w:before="20" w:after="20"/>
        <w:ind w:left="420" w:hanging="260"/>
      </w:pPr>
      <w:r>
        <w:rPr>
          <w:color w:val="2E74B5"/>
        </w:rPr>
        <w:t xml:space="preserve">•  </w:t>
      </w:r>
      <w:r>
        <w:t xml:space="preserve">Expresar la tasa en decimales sin convertir a porcentaje (ej. escribir 0,7 en lugar de 70%).</w:t>
      </w:r>
    </w:p>
    <w:p>
      <w:pPr>
        <w:spacing w:before="20" w:after="20"/>
        <w:ind w:left="420" w:hanging="260"/>
      </w:pPr>
      <w:r>
        <w:rPr>
          <w:color w:val="2E74B5"/>
        </w:rPr>
        <w:t xml:space="preserve">•  </w:t>
      </w:r>
      <w:r>
        <w:t xml:space="preserve">Confundir el denominador de la tasa de ataque con la población total en lugar de la población expuesta específica.</w:t>
      </w:r>
    </w:p>
    <w:p>
      <w:pPr>
        <w:pStyle w:val="Heading2"/>
        <w:keepNext/>
        <w:spacing w:before="200" w:after="80"/>
      </w:pPr>
      <w:r>
        <w:t xml:space="preserve">EJERCICIO 3B: TASA DE ATAQUE SECUNDARIO (TAS) EN ENTORNO ESCOLAR</w:t>
      </w:r>
    </w:p>
    <w:p>
      <w:pPr>
        <w:pStyle w:val="Heading3"/>
        <w:keepNext/>
        <w:spacing w:before="140" w:after="40"/>
      </w:pPr>
      <w:r>
        <w:t xml:space="preserve">1. Enunciado</w:t>
      </w:r>
    </w:p>
    <w:p>
      <w:pPr>
        <w:spacing w:after="60"/>
        <w:ind w:left="120"/>
      </w:pPr>
      <w:r>
        <w:t xml:space="preserve">En un aula de clase con 22 niños susceptibles (sin antecedente de enfermedad ni vacuna), aparece un caso primario de varicela. En los 21 días siguientes (un período de incubación), aparecen 8 nuevos casos entre sus compañeros.</w:t>
      </w:r>
    </w:p>
    <w:p>
      <w:pPr>
        <w:pStyle w:val="Heading3"/>
        <w:keepNext/>
        <w:spacing w:before="140" w:after="40"/>
      </w:pPr>
      <w:r>
        <w:t xml:space="preserve">2. Fórmula</w:t>
      </w:r>
    </w:p>
    <w:p>
      <w:pPr>
        <w:spacing w:before="20" w:after="20"/>
        <w:ind w:left="420" w:hanging="260"/>
      </w:pPr>
      <w:r>
        <w:rPr>
          <w:color w:val="2E74B5"/>
        </w:rPr>
        <w:t xml:space="preserve">•  </w:t>
      </w:r>
      <w:r>
        <w:rPr>
          <w:b/>
        </w:rPr>
        <w:t xml:space="preserve">TAS:</w:t>
      </w:r>
      <w:r>
        <w:t xml:space="preserve"> </w:t>
      </w:r>
      <w:r>
        <w:t xml:space="preserve">Número de casos entre contactos / Total de contactos susceptibles × 100</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Identificar casos secundarios:</w:t>
      </w:r>
      <w:r>
        <w:t xml:space="preserve"> 8.</w:t>
      </w:r>
    </w:p>
    <w:p>
      <w:pPr>
        <w:spacing w:before="20" w:after="20"/>
        <w:ind w:left="420" w:hanging="260"/>
      </w:pPr>
      <w:r>
        <w:rPr>
          <w:color w:val="2E74B5"/>
        </w:rPr>
        <w:t xml:space="preserve">•  </w:t>
      </w:r>
      <w:r>
        <w:rPr>
          <w:b/>
        </w:rPr>
        <w:t xml:space="preserve">Identificar contactos susceptibles:</w:t>
      </w:r>
      <w:r>
        <w:t xml:space="preserve"> 22.</w:t>
      </w:r>
    </w:p>
    <w:p>
      <w:pPr>
        <w:spacing w:before="20" w:after="20"/>
        <w:ind w:left="420" w:hanging="260"/>
      </w:pPr>
      <w:r>
        <w:rPr>
          <w:color w:val="2E74B5"/>
        </w:rPr>
        <w:t xml:space="preserve">•  </w:t>
      </w:r>
      <w:r>
        <w:rPr>
          <w:b/>
        </w:rPr>
        <w:t xml:space="preserve">Cálculo:</w:t>
      </w:r>
      <w:r>
        <w:t xml:space="preserve"> </w:t>
      </w:r>
      <w:r>
        <w:t xml:space="preserve">(8 / 22) × 100 = 36,36%</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TAS:</w:t>
      </w:r>
      <w:r>
        <w:t xml:space="preserve"> </w:t>
      </w:r>
      <w:r>
        <w:t xml:space="preserve">36,4%</w:t>
      </w:r>
      <w:r>
        <w:t xml:space="preserve">.</w:t>
      </w:r>
    </w:p>
    <w:p>
      <w:pPr>
        <w:pStyle w:val="Heading3"/>
        <w:keepNext/>
        <w:spacing w:before="140" w:after="40"/>
      </w:pPr>
      <w:r>
        <w:t xml:space="preserve">5. Interpretación clínica</w:t>
      </w:r>
    </w:p>
    <w:p>
      <w:pPr>
        <w:spacing w:after="60"/>
        <w:ind w:left="120"/>
      </w:pPr>
      <w:r>
        <w:t xml:space="preserve">La varicela presenta una contagiosidad del </w:t>
      </w:r>
      <w:r>
        <w:t xml:space="preserve">36,4%</w:t>
      </w:r>
      <w:r>
        <w:t xml:space="preserve"> en este entorno cerrado. Este indicador mide la morbilidad entre quienes conviven con el caso primario y refleja el poder de propagación del agente en contactos directos.</w:t>
      </w:r>
    </w:p>
    <w:p>
      <w:pPr>
        <w:pStyle w:val="Heading3"/>
        <w:keepNext/>
        <w:spacing w:before="140" w:after="40"/>
      </w:pPr>
      <w:r>
        <w:t xml:space="preserve">6. Errores comunes</w:t>
      </w:r>
    </w:p>
    <w:p>
      <w:pPr>
        <w:spacing w:before="20" w:after="20"/>
        <w:ind w:left="420" w:hanging="260"/>
      </w:pPr>
      <w:r>
        <w:rPr>
          <w:color w:val="2E74B5"/>
        </w:rPr>
        <w:t xml:space="preserve">•  </w:t>
      </w:r>
      <w:r>
        <w:t xml:space="preserve">Incluir al caso primario (el primero) en el numerador. La TAS solo cuenta los casos que aparecen después a partir del contacto.</w:t>
      </w:r>
    </w:p>
    <w:p>
      <w:pPr>
        <w:spacing w:before="20" w:after="20"/>
        <w:ind w:left="420" w:hanging="260"/>
      </w:pPr>
      <w:r>
        <w:rPr>
          <w:color w:val="2E74B5"/>
        </w:rPr>
        <w:t xml:space="preserve">•  </w:t>
      </w:r>
      <w:r>
        <w:t xml:space="preserve">No verificar que el denominador sean solo contactos "susceptibles" (se deben excluir los ya inmunes).</w:t>
      </w:r>
    </w:p>
    <w:p>
      <w:pPr>
        <w:pStyle w:val="Heading2"/>
        <w:keepNext/>
        <w:spacing w:before="200" w:after="80"/>
      </w:pPr>
      <w:r>
        <w:t xml:space="preserve">EJERCICIO 3C: UMBRAL DE INMUNIDAD COLECTIVA (HIT)</w:t>
      </w:r>
    </w:p>
    <w:p>
      <w:pPr>
        <w:pStyle w:val="Heading3"/>
        <w:keepNext/>
        <w:spacing w:before="140" w:after="40"/>
      </w:pPr>
      <w:r>
        <w:t xml:space="preserve">1. Enunciado</w:t>
      </w:r>
    </w:p>
    <w:p>
      <w:pPr>
        <w:spacing w:after="60"/>
        <w:ind w:left="120"/>
      </w:pPr>
      <w:r>
        <w:t xml:space="preserve">El sarampión es una enfermedad altamente infectocontagiosa con un número básico de reproducción (</w:t>
      </w:r>
      <w:r>
        <w:t xml:space="preserve">R</w:t>
      </w:r>
      <w:r>
        <w:rPr>
          <w:vertAlign w:val="subscript"/>
        </w:rPr>
        <w:t xml:space="preserve">0</w:t>
      </w:r>
      <w:r>
        <w:t xml:space="preserve">) estimado en 15. Calcule el umbral de inmunidad de rebaño necesario para interrumpir la cadena de transmisión.</w:t>
      </w:r>
    </w:p>
    <w:p>
      <w:pPr>
        <w:pStyle w:val="Heading3"/>
        <w:keepNext/>
        <w:spacing w:before="140" w:after="40"/>
      </w:pPr>
      <w:r>
        <w:t xml:space="preserve">2. Fórmula</w:t>
      </w:r>
    </w:p>
    <w:p>
      <w:pPr>
        <w:spacing w:before="20" w:after="20"/>
        <w:ind w:left="420" w:hanging="260"/>
      </w:pPr>
      <w:r>
        <w:rPr>
          <w:color w:val="2E74B5"/>
        </w:rPr>
        <w:t xml:space="preserve">•  </w:t>
      </w:r>
      <w:r>
        <w:rPr>
          <w:b/>
        </w:rPr>
        <w:t xml:space="preserve">HIT:</w:t>
      </w:r>
      <w:r>
        <w:t xml:space="preserve"> </w:t>
      </w:r>
      <w:r>
        <w:t xml:space="preserve">1 - (1 / R</w:t>
      </w:r>
      <w:r>
        <w:rPr>
          <w:vertAlign w:val="subscript"/>
        </w:rPr>
        <w:t xml:space="preserve">0</w:t>
      </w:r>
      <w:r>
        <w:t xml:space="preserve">)</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t xml:space="preserve">HIT = 1 - (1 / 15)</w:t>
      </w:r>
      <w:r>
        <w:t xml:space="preserve">.</w:t>
      </w:r>
    </w:p>
    <w:p>
      <w:pPr>
        <w:spacing w:before="20" w:after="20"/>
        <w:ind w:left="420" w:hanging="260"/>
      </w:pPr>
      <w:r>
        <w:rPr>
          <w:color w:val="2E74B5"/>
        </w:rPr>
        <w:t xml:space="preserve">•  </w:t>
      </w:r>
      <w:r>
        <w:t xml:space="preserve">HIT = 1 - 0,066 = 0,933</w:t>
      </w:r>
      <w:r>
        <w:t xml:space="preserve">.</w:t>
      </w:r>
    </w:p>
    <w:p>
      <w:pPr>
        <w:spacing w:before="20" w:after="20"/>
        <w:ind w:left="420" w:hanging="260"/>
      </w:pPr>
      <w:r>
        <w:rPr>
          <w:color w:val="2E74B5"/>
        </w:rPr>
        <w:t xml:space="preserve">•  </w:t>
      </w:r>
      <w:r>
        <w:rPr>
          <w:b/>
        </w:rPr>
        <w:t xml:space="preserve">Convertir a porcentaje:</w:t>
      </w:r>
      <w:r>
        <w:t xml:space="preserve"> </w:t>
      </w:r>
      <w:r>
        <w:t xml:space="preserve">93,3%</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HIT:</w:t>
      </w:r>
      <w:r>
        <w:t xml:space="preserve"> </w:t>
      </w:r>
      <w:r>
        <w:t xml:space="preserve">93,3%</w:t>
      </w:r>
      <w:r>
        <w:t xml:space="preserve">.</w:t>
      </w:r>
    </w:p>
    <w:p>
      <w:pPr>
        <w:pStyle w:val="Heading3"/>
        <w:keepNext/>
        <w:spacing w:before="140" w:after="40"/>
      </w:pPr>
      <w:r>
        <w:t xml:space="preserve">5. Interpretación clínica</w:t>
      </w:r>
    </w:p>
    <w:p>
      <w:pPr>
        <w:spacing w:after="60"/>
        <w:ind w:left="120"/>
      </w:pPr>
      <w:r>
        <w:t xml:space="preserve">Para lograr la inmunidad de rebaño contra el sarampión y proteger a los individuos no vacunados, se requiere que al menos el </w:t>
      </w:r>
      <w:r>
        <w:t xml:space="preserve">93,3%</w:t>
      </w:r>
      <w:r>
        <w:t xml:space="preserve"> de la población posea anticuerpos (sea por vacuna o infección previa).</w:t>
      </w:r>
    </w:p>
    <w:p>
      <w:pPr>
        <w:pStyle w:val="Heading3"/>
        <w:keepNext/>
        <w:spacing w:before="140" w:after="40"/>
      </w:pPr>
      <w:r>
        <w:t xml:space="preserve">6. Errores comunes</w:t>
      </w:r>
    </w:p>
    <w:p>
      <w:pPr>
        <w:spacing w:before="20" w:after="20"/>
        <w:ind w:left="420" w:hanging="260"/>
      </w:pPr>
      <w:r>
        <w:rPr>
          <w:color w:val="2E74B5"/>
        </w:rPr>
        <w:t xml:space="preserve">•  </w:t>
      </w:r>
      <w:r>
        <w:t xml:space="preserve">Asumir que el HIT es igual para todas las enfermedades; este varía según el </w:t>
      </w:r>
      <w:r>
        <w:t xml:space="preserve">R</w:t>
      </w:r>
      <w:r>
        <w:rPr>
          <w:vertAlign w:val="subscript"/>
        </w:rPr>
        <w:t xml:space="preserve">0</w:t>
      </w:r>
      <w:r>
        <w:t xml:space="preserve"> específico de cada agente.</w:t>
      </w:r>
    </w:p>
    <w:p>
      <w:pPr>
        <w:pStyle w:val="Heading1"/>
        <w:keepNext/>
        <w:spacing w:before="0" w:after="120"/>
        <w:pBdr>
          <w:bottom w:val="single" w:sz="6" w:space="2" w:color="C0C0C0"/>
        </w:pBdr>
      </w:pPr>
      <w:r>
        <w:br w:type="page"/>
      </w:r>
      <w:r>
        <w:t xml:space="preserve">TEMA 4 — ESTUDIOS DE PRONÓSTICO</w:t>
      </w:r>
    </w:p>
    <w:p>
      <w:pPr>
        <w:spacing w:after="80"/>
      </w:pPr>
      <w:r>
        <w:t xml:space="preserve">El pronóstico cuantifica la probabilidad de eventos futuros (curación, muerte, complicaciones) a partir del estado de salud actual.</w:t>
      </w:r>
    </w:p>
    <w:p>
      <w:pPr>
        <w:pStyle w:val="Heading2"/>
        <w:keepNext/>
        <w:spacing w:before="200" w:after="80"/>
      </w:pPr>
      <w:r>
        <w:t xml:space="preserve">EJERCICIO 4A: LETALIDAD VS. MORTALIDAD</w:t>
      </w:r>
    </w:p>
    <w:p>
      <w:pPr>
        <w:pStyle w:val="Heading3"/>
        <w:keepNext/>
        <w:spacing w:before="140" w:after="40"/>
      </w:pPr>
      <w:r>
        <w:t xml:space="preserve">1. Enunciado</w:t>
      </w:r>
    </w:p>
    <w:p>
      <w:pPr>
        <w:spacing w:after="60"/>
        <w:ind w:left="120"/>
      </w:pPr>
      <w:r>
        <w:t xml:space="preserve">En una ciudad de 100.000 habitantes, se diagnostican 500 casos de una enfermedad infectocontagiosa. Al cabo de un mes, 50 personas fallecen por dicha causa.</w:t>
      </w:r>
    </w:p>
    <w:p>
      <w:pPr>
        <w:pStyle w:val="Heading3"/>
        <w:keepNext/>
        <w:spacing w:before="140" w:after="40"/>
      </w:pPr>
      <w:r>
        <w:t xml:space="preserve">2. Fórmulas</w:t>
      </w:r>
    </w:p>
    <w:p>
      <w:pPr>
        <w:spacing w:before="20" w:after="20"/>
        <w:ind w:left="420" w:hanging="260"/>
      </w:pPr>
      <w:r>
        <w:rPr>
          <w:color w:val="2E74B5"/>
        </w:rPr>
        <w:t xml:space="preserve">•  </w:t>
      </w:r>
      <w:r>
        <w:rPr>
          <w:b/>
        </w:rPr>
        <w:t xml:space="preserve">Tasa de Letalidad:</w:t>
      </w:r>
      <w:r>
        <w:t xml:space="preserve"> </w:t>
      </w:r>
      <w:r>
        <w:t xml:space="preserve">Muertes por enfermedad / Casos confirmados × 100</w:t>
      </w:r>
      <w:r>
        <w:t xml:space="preserve">.</w:t>
      </w:r>
    </w:p>
    <w:p>
      <w:pPr>
        <w:spacing w:before="20" w:after="20"/>
        <w:ind w:left="420" w:hanging="260"/>
      </w:pPr>
      <w:r>
        <w:rPr>
          <w:color w:val="2E74B5"/>
        </w:rPr>
        <w:t xml:space="preserve">•  </w:t>
      </w:r>
      <w:r>
        <w:rPr>
          <w:b/>
        </w:rPr>
        <w:t xml:space="preserve">Tasa de Mortalidad:</w:t>
      </w:r>
      <w:r>
        <w:t xml:space="preserve"> </w:t>
      </w:r>
      <w:r>
        <w:t xml:space="preserve">Muertes totales o específicas / Población total × 100</w:t>
      </w:r>
      <w:r>
        <w:t xml:space="preserve"> (o por 1.000).</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Letalidad:</w:t>
      </w:r>
      <w:r>
        <w:t xml:space="preserve"> </w:t>
      </w:r>
      <w:r>
        <w:t xml:space="preserve">50 / 500 × 100 = 10%</w:t>
      </w:r>
      <w:r>
        <w:t xml:space="preserve">.</w:t>
      </w:r>
    </w:p>
    <w:p>
      <w:pPr>
        <w:spacing w:before="20" w:after="20"/>
        <w:ind w:left="420" w:hanging="260"/>
      </w:pPr>
      <w:r>
        <w:rPr>
          <w:color w:val="2E74B5"/>
        </w:rPr>
        <w:t xml:space="preserve">•  </w:t>
      </w:r>
      <w:r>
        <w:rPr>
          <w:b/>
        </w:rPr>
        <w:t xml:space="preserve">Mortalidad:</w:t>
      </w:r>
      <w:r>
        <w:t xml:space="preserve"> </w:t>
      </w:r>
      <w:r>
        <w:t xml:space="preserve">50 / 100.000 × 100 = 0,05%</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Letalidad:</w:t>
      </w:r>
      <w:r>
        <w:t xml:space="preserve"> </w:t>
      </w:r>
      <w:r>
        <w:t xml:space="preserve">10%</w:t>
      </w:r>
      <w:r>
        <w:t xml:space="preserve">.</w:t>
      </w:r>
    </w:p>
    <w:p>
      <w:pPr>
        <w:spacing w:before="20" w:after="20"/>
        <w:ind w:left="420" w:hanging="260"/>
      </w:pPr>
      <w:r>
        <w:rPr>
          <w:color w:val="2E74B5"/>
        </w:rPr>
        <w:t xml:space="preserve">•  </w:t>
      </w:r>
      <w:r>
        <w:rPr>
          <w:b/>
        </w:rPr>
        <w:t xml:space="preserve">Mortalidad:</w:t>
      </w:r>
      <w:r>
        <w:t xml:space="preserve"> </w:t>
      </w:r>
      <w:r>
        <w:t xml:space="preserve">0,05%</w:t>
      </w:r>
      <w:r>
        <w:t xml:space="preserve">.</w:t>
      </w:r>
    </w:p>
    <w:p>
      <w:pPr>
        <w:pStyle w:val="Heading3"/>
        <w:keepNext/>
        <w:spacing w:before="140" w:after="40"/>
      </w:pPr>
      <w:r>
        <w:t xml:space="preserve">5. Interpretación clínica</w:t>
      </w:r>
    </w:p>
    <w:p>
      <w:pPr>
        <w:spacing w:after="60"/>
        <w:ind w:left="120"/>
      </w:pPr>
      <w:r>
        <w:t xml:space="preserve">La letalidad indica que el </w:t>
      </w:r>
      <w:r>
        <w:t xml:space="preserve">10%</w:t>
      </w:r>
      <w:r>
        <w:t xml:space="preserve"> de quienes contraen la enfermedad mueren; es una medida de la gravedad de la patología y se usa en cuadros agudos. La mortalidad indica el riesgo de morir por esa causa para cualquier habitante de la población, esté enfermo o no.</w:t>
      </w:r>
    </w:p>
    <w:p>
      <w:pPr>
        <w:pStyle w:val="Heading3"/>
        <w:keepNext/>
        <w:spacing w:before="140" w:after="40"/>
      </w:pPr>
      <w:r>
        <w:t xml:space="preserve">6. Errores comunes</w:t>
      </w:r>
    </w:p>
    <w:p>
      <w:pPr>
        <w:spacing w:before="20" w:after="20"/>
        <w:ind w:left="420" w:hanging="260"/>
      </w:pPr>
      <w:r>
        <w:rPr>
          <w:color w:val="2E74B5"/>
        </w:rPr>
        <w:t xml:space="preserve">•  </w:t>
      </w:r>
      <w:r>
        <w:t xml:space="preserve">Confundir los denominadores. La letalidad usa "casos" y la mortalidad usa "población".</w:t>
      </w:r>
    </w:p>
    <w:p>
      <w:pPr>
        <w:pStyle w:val="Heading2"/>
        <w:keepNext/>
        <w:spacing w:before="200" w:after="80"/>
      </w:pPr>
      <w:r>
        <w:t xml:space="preserve">EJERCICIO 4B: TABLA DE VIDA ACTUARIAL</w:t>
      </w:r>
    </w:p>
    <w:p>
      <w:pPr>
        <w:pStyle w:val="Heading3"/>
        <w:keepNext/>
        <w:spacing w:before="140" w:after="40"/>
      </w:pPr>
      <w:r>
        <w:t xml:space="preserve">1. Enunciado</w:t>
      </w:r>
    </w:p>
    <w:p>
      <w:pPr>
        <w:spacing w:after="60"/>
        <w:ind w:left="120"/>
      </w:pPr>
      <w:r>
        <w:t xml:space="preserve">Complete el primer año de seguimiento para una cohorte de 330 pacientes con cáncer de colon. Se registran 79 muertes, 11 pérdidas de seguimiento y 40 pacientes que terminaron el año vivos.</w:t>
      </w:r>
    </w:p>
    <w:p>
      <w:pPr>
        <w:pStyle w:val="Heading3"/>
        <w:keepNext/>
        <w:spacing w:before="140" w:after="40"/>
      </w:pPr>
      <w:r>
        <w:t xml:space="preserve">2. Fórmulas</w:t>
      </w:r>
    </w:p>
    <w:p>
      <w:pPr>
        <w:spacing w:before="20" w:after="20"/>
        <w:ind w:left="420" w:hanging="260"/>
      </w:pPr>
      <w:r>
        <w:rPr>
          <w:color w:val="2E74B5"/>
        </w:rPr>
        <w:t xml:space="preserve">•  </w:t>
      </w:r>
      <w:r>
        <w:t xml:space="preserve">l'</w:t>
      </w:r>
      <w:r>
        <w:rPr>
          <w:vertAlign w:val="subscript"/>
        </w:rPr>
        <w:t xml:space="preserve">x</w:t>
      </w:r>
      <w:r>
        <w:t xml:space="preserve"> (Nº efectivo en riesgo): </w:t>
      </w:r>
      <w:r>
        <w:t xml:space="preserve">l</w:t>
      </w:r>
      <w:r>
        <w:rPr>
          <w:vertAlign w:val="subscript"/>
        </w:rPr>
        <w:t xml:space="preserve">x</w:t>
      </w:r>
      <w:r>
        <w:t xml:space="preserve"> - (u</w:t>
      </w:r>
      <w:r>
        <w:rPr>
          <w:vertAlign w:val="subscript"/>
        </w:rPr>
        <w:t xml:space="preserve">x</w:t>
      </w:r>
      <w:r>
        <w:t xml:space="preserve">/2) - (w</w:t>
      </w:r>
      <w:r>
        <w:rPr>
          <w:vertAlign w:val="subscript"/>
        </w:rPr>
        <w:t xml:space="preserve">x</w:t>
      </w:r>
      <w:r>
        <w:t xml:space="preserve">/2)</w:t>
      </w:r>
      <w:r>
        <w:t xml:space="preserve">.</w:t>
      </w:r>
    </w:p>
    <w:p>
      <w:pPr>
        <w:spacing w:before="20" w:after="20"/>
        <w:ind w:left="420" w:hanging="260"/>
      </w:pPr>
      <w:r>
        <w:rPr>
          <w:color w:val="2E74B5"/>
        </w:rPr>
        <w:t xml:space="preserve">•  </w:t>
      </w:r>
      <w:r>
        <w:t xml:space="preserve">q</w:t>
      </w:r>
      <w:r>
        <w:rPr>
          <w:vertAlign w:val="subscript"/>
        </w:rPr>
        <w:t xml:space="preserve">x</w:t>
      </w:r>
      <w:r>
        <w:t xml:space="preserve"> (Prob. morir): </w:t>
      </w:r>
      <w:r>
        <w:t xml:space="preserve">d</w:t>
      </w:r>
      <w:r>
        <w:rPr>
          <w:vertAlign w:val="subscript"/>
        </w:rPr>
        <w:t xml:space="preserve">x</w:t>
      </w:r>
      <w:r>
        <w:t xml:space="preserve"> / l'</w:t>
      </w:r>
      <w:r>
        <w:rPr>
          <w:vertAlign w:val="subscript"/>
        </w:rPr>
        <w:t xml:space="preserve">x</w:t>
      </w:r>
      <w:r>
        <w:t xml:space="preserve">.</w:t>
      </w:r>
    </w:p>
    <w:p>
      <w:pPr>
        <w:spacing w:before="20" w:after="20"/>
        <w:ind w:left="420" w:hanging="260"/>
      </w:pPr>
      <w:r>
        <w:rPr>
          <w:color w:val="2E74B5"/>
        </w:rPr>
        <w:t xml:space="preserve">•  </w:t>
      </w:r>
      <w:r>
        <w:t xml:space="preserve">p</w:t>
      </w:r>
      <w:r>
        <w:rPr>
          <w:vertAlign w:val="subscript"/>
        </w:rPr>
        <w:t xml:space="preserve">x</w:t>
      </w:r>
      <w:r>
        <w:t xml:space="preserve"> (Prob. sobrevivir): </w:t>
      </w:r>
      <w:r>
        <w:t xml:space="preserve">1 - q</w:t>
      </w:r>
      <w:r>
        <w:rPr>
          <w:vertAlign w:val="subscript"/>
        </w:rPr>
        <w:t xml:space="preserve">x</w:t>
      </w:r>
      <w:r>
        <w:t xml:space="preserve">.</w:t>
      </w:r>
    </w:p>
    <w:p>
      <w:pPr>
        <w:spacing w:before="20" w:after="20"/>
        <w:ind w:left="420" w:hanging="260"/>
      </w:pPr>
      <w:r>
        <w:rPr>
          <w:color w:val="2E74B5"/>
        </w:rPr>
        <w:t xml:space="preserve">•  </w:t>
      </w:r>
      <w:r>
        <w:t xml:space="preserve">S</w:t>
      </w:r>
      <w:r>
        <w:rPr>
          <w:vertAlign w:val="subscript"/>
        </w:rPr>
        <w:t xml:space="preserve">x</w:t>
      </w:r>
      <w:r>
        <w:t xml:space="preserve"> (Supervivencia acumulada): </w:t>
      </w:r>
      <w:r>
        <w:t xml:space="preserve">S</w:t>
      </w:r>
      <w:r>
        <w:rPr>
          <w:vertAlign w:val="subscript"/>
        </w:rPr>
        <w:t xml:space="preserve">x-1</w:t>
      </w:r>
      <w:r>
        <w:t xml:space="preserve"> × p</w:t>
      </w:r>
      <w:r>
        <w:rPr>
          <w:vertAlign w:val="subscript"/>
        </w:rPr>
        <w:t xml:space="preserve">x</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t xml:space="preserve">l</w:t>
      </w:r>
      <w:r>
        <w:rPr>
          <w:vertAlign w:val="subscript"/>
        </w:rPr>
        <w:t xml:space="preserve">x</w:t>
      </w:r>
      <w:r>
        <w:t xml:space="preserve"> = 330</w:t>
      </w:r>
      <w:r>
        <w:t xml:space="preserve">; </w:t>
      </w:r>
      <w:r>
        <w:t xml:space="preserve">d</w:t>
      </w:r>
      <w:r>
        <w:rPr>
          <w:vertAlign w:val="subscript"/>
        </w:rPr>
        <w:t xml:space="preserve">x</w:t>
      </w:r>
      <w:r>
        <w:t xml:space="preserve"> = 79</w:t>
      </w:r>
      <w:r>
        <w:t xml:space="preserve">; </w:t>
      </w:r>
      <w:r>
        <w:t xml:space="preserve">u</w:t>
      </w:r>
      <w:r>
        <w:rPr>
          <w:vertAlign w:val="subscript"/>
        </w:rPr>
        <w:t xml:space="preserve">x</w:t>
      </w:r>
      <w:r>
        <w:t xml:space="preserve"> = 11</w:t>
      </w:r>
      <w:r>
        <w:t xml:space="preserve">; </w:t>
      </w:r>
      <w:r>
        <w:t xml:space="preserve">w</w:t>
      </w:r>
      <w:r>
        <w:rPr>
          <w:vertAlign w:val="subscript"/>
        </w:rPr>
        <w:t xml:space="preserve">x</w:t>
      </w:r>
      <w:r>
        <w:t xml:space="preserve"> = 40</w:t>
      </w:r>
      <w:r>
        <w:t xml:space="preserve">.</w:t>
      </w:r>
    </w:p>
    <w:p>
      <w:pPr>
        <w:spacing w:before="20" w:after="20"/>
        <w:ind w:left="420" w:hanging="260"/>
      </w:pPr>
      <w:r>
        <w:rPr>
          <w:color w:val="2E74B5"/>
        </w:rPr>
        <w:t xml:space="preserve">•  </w:t>
      </w:r>
      <w:r>
        <w:t xml:space="preserve">l'</w:t>
      </w:r>
      <w:r>
        <w:rPr>
          <w:vertAlign w:val="subscript"/>
        </w:rPr>
        <w:t xml:space="preserve">x</w:t>
      </w:r>
      <w:r>
        <w:t xml:space="preserve">: </w:t>
      </w:r>
      <w:r>
        <w:t xml:space="preserve">330 - (11/2) - (40/2) = 330 - 5,5 - 20 = 304,5</w:t>
      </w:r>
      <w:r>
        <w:t xml:space="preserve">.</w:t>
      </w:r>
    </w:p>
    <w:p>
      <w:pPr>
        <w:spacing w:before="20" w:after="20"/>
        <w:ind w:left="420" w:hanging="260"/>
      </w:pPr>
      <w:r>
        <w:rPr>
          <w:color w:val="2E74B5"/>
        </w:rPr>
        <w:t xml:space="preserve">•  </w:t>
      </w:r>
      <w:r>
        <w:t xml:space="preserve">q</w:t>
      </w:r>
      <w:r>
        <w:rPr>
          <w:vertAlign w:val="subscript"/>
        </w:rPr>
        <w:t xml:space="preserve">x</w:t>
      </w:r>
      <w:r>
        <w:t xml:space="preserve">: </w:t>
      </w:r>
      <w:r>
        <w:t xml:space="preserve">79 / 304,5 = 0,259</w:t>
      </w:r>
      <w:r>
        <w:t xml:space="preserve">.</w:t>
      </w:r>
    </w:p>
    <w:p>
      <w:pPr>
        <w:spacing w:before="20" w:after="20"/>
        <w:ind w:left="420" w:hanging="260"/>
      </w:pPr>
      <w:r>
        <w:rPr>
          <w:color w:val="2E74B5"/>
        </w:rPr>
        <w:t xml:space="preserve">•  </w:t>
      </w:r>
      <w:r>
        <w:t xml:space="preserve">p</w:t>
      </w:r>
      <w:r>
        <w:rPr>
          <w:vertAlign w:val="subscript"/>
        </w:rPr>
        <w:t xml:space="preserve">x</w:t>
      </w:r>
      <w:r>
        <w:t xml:space="preserve">: </w:t>
      </w:r>
      <w:r>
        <w:t xml:space="preserve">1 - 0,259 = 0,741</w:t>
      </w:r>
      <w:r>
        <w:t xml:space="preserve">.</w:t>
      </w:r>
    </w:p>
    <w:p>
      <w:pPr>
        <w:spacing w:before="20" w:after="20"/>
        <w:ind w:left="420" w:hanging="260"/>
      </w:pPr>
      <w:r>
        <w:rPr>
          <w:color w:val="2E74B5"/>
        </w:rPr>
        <w:t xml:space="preserve">•  </w:t>
      </w:r>
      <w:r>
        <w:t xml:space="preserve">S</w:t>
      </w:r>
      <w:r>
        <w:rPr>
          <w:vertAlign w:val="subscript"/>
        </w:rPr>
        <w:t xml:space="preserve">x</w:t>
      </w:r>
      <w:r>
        <w:t xml:space="preserve">: </w:t>
      </w:r>
      <w:r>
        <w:t xml:space="preserve">1,0 × 0,741 = 0,741 → 74,1%</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t xml:space="preserve">l'</w:t>
      </w:r>
      <w:r>
        <w:rPr>
          <w:vertAlign w:val="subscript"/>
        </w:rPr>
        <w:t xml:space="preserve">x</w:t>
      </w:r>
      <w:r>
        <w:t xml:space="preserve">: </w:t>
      </w:r>
      <w:r>
        <w:t xml:space="preserve">304,5</w:t>
      </w:r>
      <w:r>
        <w:t xml:space="preserve">; </w:t>
      </w:r>
      <w:r>
        <w:t xml:space="preserve">q</w:t>
      </w:r>
      <w:r>
        <w:rPr>
          <w:vertAlign w:val="subscript"/>
        </w:rPr>
        <w:t xml:space="preserve">x</w:t>
      </w:r>
      <w:r>
        <w:t xml:space="preserve">: </w:t>
      </w:r>
      <w:r>
        <w:t xml:space="preserve">0,259</w:t>
      </w:r>
      <w:r>
        <w:t xml:space="preserve">; </w:t>
      </w:r>
      <w:r>
        <w:t xml:space="preserve">p</w:t>
      </w:r>
      <w:r>
        <w:rPr>
          <w:vertAlign w:val="subscript"/>
        </w:rPr>
        <w:t xml:space="preserve">x</w:t>
      </w:r>
      <w:r>
        <w:t xml:space="preserve">: </w:t>
      </w:r>
      <w:r>
        <w:t xml:space="preserve">0,741</w:t>
      </w:r>
      <w:r>
        <w:t xml:space="preserve">; </w:t>
      </w:r>
      <w:r>
        <w:t xml:space="preserve">S</w:t>
      </w:r>
      <w:r>
        <w:rPr>
          <w:vertAlign w:val="subscript"/>
        </w:rPr>
        <w:t xml:space="preserve">x</w:t>
      </w:r>
      <w:r>
        <w:t xml:space="preserve">: </w:t>
      </w:r>
      <w:r>
        <w:t xml:space="preserve">74,1%</w:t>
      </w:r>
      <w:r>
        <w:t xml:space="preserve">.</w:t>
      </w:r>
    </w:p>
    <w:p>
      <w:pPr>
        <w:pStyle w:val="Heading3"/>
        <w:keepNext/>
        <w:spacing w:before="140" w:after="40"/>
      </w:pPr>
      <w:r>
        <w:t xml:space="preserve">5. Interpretación clínica</w:t>
      </w:r>
    </w:p>
    <w:p>
      <w:pPr>
        <w:spacing w:after="60"/>
        <w:ind w:left="120"/>
      </w:pPr>
      <w:r>
        <w:t xml:space="preserve">La probabilidad de sobrevivir al primer año tras el diagnóstico es del </w:t>
      </w:r>
      <w:r>
        <w:t xml:space="preserve">74,1%</w:t>
      </w:r>
      <w:r>
        <w:t xml:space="preserve">.</w:t>
      </w:r>
    </w:p>
    <w:p>
      <w:pPr>
        <w:pStyle w:val="Heading3"/>
        <w:keepNext/>
        <w:spacing w:before="140" w:after="40"/>
      </w:pPr>
      <w:r>
        <w:t xml:space="preserve">6. Errores comunes</w:t>
      </w:r>
    </w:p>
    <w:p>
      <w:pPr>
        <w:spacing w:before="20" w:after="20"/>
        <w:ind w:left="420" w:hanging="260"/>
      </w:pPr>
      <w:r>
        <w:rPr>
          <w:color w:val="2E74B5"/>
        </w:rPr>
        <w:t xml:space="preserve">•  </w:t>
      </w:r>
      <w:r>
        <w:t xml:space="preserve">No restar la mitad de las pérdidas y retirados vivos al calcular el denominador efectivo (</w:t>
      </w:r>
      <w:r>
        <w:t xml:space="preserve">l'</w:t>
      </w:r>
      <w:r>
        <w:rPr>
          <w:vertAlign w:val="subscript"/>
        </w:rPr>
        <w:t xml:space="preserve">x</w:t>
      </w:r>
      <w:r>
        <w:t xml:space="preserve">).</w:t>
      </w:r>
    </w:p>
    <w:p>
      <w:pPr>
        <w:spacing w:before="20" w:after="20"/>
        <w:ind w:left="420" w:hanging="260"/>
      </w:pPr>
      <w:r>
        <w:rPr>
          <w:color w:val="2E74B5"/>
        </w:rPr>
        <w:t xml:space="preserve">•  </w:t>
      </w:r>
      <w:r>
        <w:t xml:space="preserve">Sumar las supervivencias en lugar de multiplicarlas para obtener la acumulada.</w:t>
      </w:r>
    </w:p>
    <w:p>
      <w:pPr>
        <w:pStyle w:val="Heading2"/>
        <w:keepNext/>
        <w:spacing w:before="200" w:after="80"/>
      </w:pPr>
      <w:r>
        <w:t xml:space="preserve">EJERCICIO 4C: MÉTODO DE KAPLAN-MEIER Y MEDIANA</w:t>
      </w:r>
    </w:p>
    <w:p>
      <w:pPr>
        <w:pStyle w:val="Heading3"/>
        <w:keepNext/>
        <w:spacing w:before="140" w:after="40"/>
      </w:pPr>
      <w:r>
        <w:t xml:space="preserve">1. Enunciado</w:t>
      </w:r>
    </w:p>
    <w:p>
      <w:pPr>
        <w:spacing w:after="60"/>
        <w:ind w:left="120"/>
      </w:pPr>
      <w:r>
        <w:t xml:space="preserve">En una cohorte de 10 niños con cardiopatía, ocurren muertes en los meses 2, 5 y 9. En el mes 6 hubo una pérdida (censura). Calcule la supervivencia acumulada hasta el mes 9 e identifique la mediana si la supervivencia cae bajo 0,5 en el mes 27.</w:t>
      </w:r>
    </w:p>
    <w:p>
      <w:pPr>
        <w:pStyle w:val="Heading3"/>
        <w:keepNext/>
        <w:spacing w:before="140" w:after="40"/>
      </w:pPr>
      <w:r>
        <w:t xml:space="preserve">2. Fórmulas</w:t>
      </w:r>
    </w:p>
    <w:p>
      <w:pPr>
        <w:spacing w:before="20" w:after="20"/>
        <w:ind w:left="420" w:hanging="260"/>
      </w:pPr>
      <w:r>
        <w:rPr>
          <w:color w:val="2E74B5"/>
        </w:rPr>
        <w:t xml:space="preserve">•  </w:t>
      </w:r>
      <w:r>
        <w:t xml:space="preserve">S(t</w:t>
      </w:r>
      <w:r>
        <w:rPr>
          <w:vertAlign w:val="subscript"/>
        </w:rPr>
        <w:t xml:space="preserve">i</w:t>
      </w:r>
      <w:r>
        <w:t xml:space="preserve">)</w:t>
      </w:r>
      <w:r>
        <w:t xml:space="preserve">: </w:t>
      </w:r>
      <w:r>
        <w:t xml:space="preserve">S(t</w:t>
      </w:r>
      <w:r>
        <w:rPr>
          <w:vertAlign w:val="subscript"/>
        </w:rPr>
        <w:t xml:space="preserve">i-1</w:t>
      </w:r>
      <w:r>
        <w:t xml:space="preserve">) × [1 - d</w:t>
      </w:r>
      <w:r>
        <w:rPr>
          <w:vertAlign w:val="subscript"/>
        </w:rPr>
        <w:t xml:space="preserve">i</w:t>
      </w:r>
      <w:r>
        <w:t xml:space="preserve"> / n</w:t>
      </w:r>
      <w:r>
        <w:rPr>
          <w:vertAlign w:val="subscript"/>
        </w:rPr>
        <w:t xml:space="preserve">i</w:t>
      </w:r>
      <w:r>
        <w:t xml:space="preserve">]</w:t>
      </w:r>
      <w:r>
        <w:t xml:space="preserve">.</w:t>
      </w:r>
    </w:p>
    <w:p>
      <w:pPr>
        <w:spacing w:before="20" w:after="20"/>
        <w:ind w:left="420" w:hanging="260"/>
      </w:pPr>
      <w:r>
        <w:rPr>
          <w:color w:val="2E74B5"/>
        </w:rPr>
        <w:t xml:space="preserve">•  </w:t>
      </w:r>
      <w:r>
        <w:rPr>
          <w:b/>
        </w:rPr>
        <w:t xml:space="preserve">Mediana:</w:t>
      </w:r>
      <w:r>
        <w:t xml:space="preserve"> Primer tiempo donde </w:t>
      </w:r>
      <w:r>
        <w:t xml:space="preserve">S(t) ≤ 0,50</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Mes 2:</w:t>
      </w:r>
      <w:r>
        <w:t xml:space="preserve"> </w:t>
      </w:r>
      <w:r>
        <w:t xml:space="preserve">n=10, d=1</w:t>
      </w:r>
      <w:r>
        <w:t xml:space="preserve">. </w:t>
      </w:r>
      <w:r>
        <w:t xml:space="preserve">S(2) = 1 × [1 - 1/10] = 0,90</w:t>
      </w:r>
      <w:r>
        <w:t xml:space="preserve">.</w:t>
      </w:r>
    </w:p>
    <w:p>
      <w:pPr>
        <w:spacing w:before="20" w:after="20"/>
        <w:ind w:left="420" w:hanging="260"/>
      </w:pPr>
      <w:r>
        <w:rPr>
          <w:color w:val="2E74B5"/>
        </w:rPr>
        <w:t xml:space="preserve">•  </w:t>
      </w:r>
      <w:r>
        <w:rPr>
          <w:b/>
        </w:rPr>
        <w:t xml:space="preserve">Mes 5:</w:t>
      </w:r>
      <w:r>
        <w:t xml:space="preserve"> </w:t>
      </w:r>
      <w:r>
        <w:t xml:space="preserve">n=9, d=1</w:t>
      </w:r>
      <w:r>
        <w:t xml:space="preserve">. </w:t>
      </w:r>
      <w:r>
        <w:t xml:space="preserve">S(5) = 0,90 × [1 - 1/9] = 0,80</w:t>
      </w:r>
      <w:r>
        <w:t xml:space="preserve">.</w:t>
      </w:r>
    </w:p>
    <w:p>
      <w:pPr>
        <w:spacing w:before="20" w:after="20"/>
        <w:ind w:left="420" w:hanging="260"/>
      </w:pPr>
      <w:r>
        <w:rPr>
          <w:color w:val="2E74B5"/>
        </w:rPr>
        <w:t xml:space="preserve">•  </w:t>
      </w:r>
      <w:r>
        <w:rPr>
          <w:b/>
        </w:rPr>
        <w:t xml:space="preserve">Mes 6:</w:t>
      </w:r>
      <w:r>
        <w:t xml:space="preserve"> Censura. </w:t>
      </w:r>
      <w:r>
        <w:t xml:space="preserve">n</w:t>
      </w:r>
      <w:r>
        <w:t xml:space="preserve"> pasa de 8 a 7 para el siguiente evento. La curva no baja.</w:t>
      </w:r>
    </w:p>
    <w:p>
      <w:pPr>
        <w:spacing w:before="20" w:after="20"/>
        <w:ind w:left="420" w:hanging="260"/>
      </w:pPr>
      <w:r>
        <w:rPr>
          <w:color w:val="2E74B5"/>
        </w:rPr>
        <w:t xml:space="preserve">•  </w:t>
      </w:r>
      <w:r>
        <w:rPr>
          <w:b/>
        </w:rPr>
        <w:t xml:space="preserve">Mes 9:</w:t>
      </w:r>
      <w:r>
        <w:t xml:space="preserve"> </w:t>
      </w:r>
      <w:r>
        <w:t xml:space="preserve">n=7, d=1</w:t>
      </w:r>
      <w:r>
        <w:t xml:space="preserve">. </w:t>
      </w:r>
      <w:r>
        <w:t xml:space="preserve">S(9) = 0,80 × [1 - 1/7] = 0,686</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Supervivencia mes 9:</w:t>
      </w:r>
      <w:r>
        <w:t xml:space="preserve"> </w:t>
      </w:r>
      <w:r>
        <w:t xml:space="preserve">68,6%</w:t>
      </w:r>
      <w:r>
        <w:t xml:space="preserve">. Mediana: </w:t>
      </w:r>
      <w:r>
        <w:t xml:space="preserve">27</w:t>
      </w:r>
      <w:r>
        <w:t xml:space="preserve"> meses (según enunciado).</w:t>
      </w:r>
    </w:p>
    <w:p>
      <w:pPr>
        <w:pStyle w:val="Heading3"/>
        <w:keepNext/>
        <w:spacing w:before="140" w:after="40"/>
      </w:pPr>
      <w:r>
        <w:t xml:space="preserve">5. Interpretación clínica</w:t>
      </w:r>
    </w:p>
    <w:p>
      <w:pPr>
        <w:spacing w:after="60"/>
        <w:ind w:left="120"/>
      </w:pPr>
      <w:r>
        <w:t xml:space="preserve">A los 9 meses, la probabilidad de supervivencia es del </w:t>
      </w:r>
      <w:r>
        <w:t xml:space="preserve">68,6%</w:t>
      </w:r>
      <w:r>
        <w:t xml:space="preserve">. La mediana indica que el </w:t>
      </w:r>
      <w:r>
        <w:t xml:space="preserve">50%</w:t>
      </w:r>
      <w:r>
        <w:t xml:space="preserve"> de los niños fallecen antes de los 27 meses.</w:t>
      </w:r>
    </w:p>
    <w:p>
      <w:pPr>
        <w:pStyle w:val="Heading3"/>
        <w:keepNext/>
        <w:spacing w:before="140" w:after="40"/>
      </w:pPr>
      <w:r>
        <w:t xml:space="preserve">6. Errores comunes</w:t>
      </w:r>
    </w:p>
    <w:p>
      <w:pPr>
        <w:spacing w:before="20" w:after="20"/>
        <w:ind w:left="420" w:hanging="260"/>
      </w:pPr>
      <w:r>
        <w:rPr>
          <w:color w:val="2E74B5"/>
        </w:rPr>
        <w:t xml:space="preserve">•  </w:t>
      </w:r>
      <w:r>
        <w:t xml:space="preserve">Hacer caer la curva en los tiempos de censura (pérdidas). La curva solo desciende cuando ocurre el evento (muerte).</w:t>
      </w:r>
    </w:p>
    <w:p>
      <w:pPr>
        <w:pStyle w:val="Heading2"/>
        <w:keepNext/>
        <w:spacing w:before="200" w:after="80"/>
      </w:pPr>
      <w:r>
        <w:t xml:space="preserve">EJERCICIO 4D: TASA DE SUPERVIVENCIA RELATIVA (TSR)</w:t>
      </w:r>
    </w:p>
    <w:p>
      <w:pPr>
        <w:pStyle w:val="Heading3"/>
        <w:keepNext/>
        <w:spacing w:before="140" w:after="40"/>
      </w:pPr>
      <w:r>
        <w:t xml:space="preserve">1. Enunciado</w:t>
      </w:r>
    </w:p>
    <w:p>
      <w:pPr>
        <w:spacing w:after="60"/>
        <w:ind w:left="120"/>
      </w:pPr>
      <w:r>
        <w:t xml:space="preserve">Un estudio de cáncer colorrectal muestra una supervivencia observada a 5 años del </w:t>
      </w:r>
      <w:r>
        <w:t xml:space="preserve">72%</w:t>
      </w:r>
      <w:r>
        <w:t xml:space="preserve">. La supervivencia esperada para una población sana del mismo sexo y edad es del </w:t>
      </w:r>
      <w:r>
        <w:t xml:space="preserve">85%</w:t>
      </w:r>
      <w:r>
        <w:t xml:space="preserve">.</w:t>
      </w:r>
    </w:p>
    <w:p>
      <w:pPr>
        <w:pStyle w:val="Heading3"/>
        <w:keepNext/>
        <w:spacing w:before="140" w:after="40"/>
      </w:pPr>
      <w:r>
        <w:t xml:space="preserve">2. Fórmula</w:t>
      </w:r>
    </w:p>
    <w:p>
      <w:pPr>
        <w:spacing w:before="20" w:after="20"/>
        <w:ind w:left="420" w:hanging="260"/>
      </w:pPr>
      <w:r>
        <w:rPr>
          <w:color w:val="2E74B5"/>
        </w:rPr>
        <w:t xml:space="preserve">•  </w:t>
      </w:r>
      <w:r>
        <w:rPr>
          <w:b/>
        </w:rPr>
        <w:t xml:space="preserve">TSR:</w:t>
      </w:r>
      <w:r>
        <w:t xml:space="preserve"> </w:t>
      </w:r>
      <w:r>
        <w:t xml:space="preserve">Supervivencia Observada / Supervivencia Esperada</w:t>
      </w:r>
      <w:r>
        <w:t xml:space="preserve">.</w:t>
      </w:r>
    </w:p>
    <w:p>
      <w:pPr>
        <w:pStyle w:val="Heading3"/>
        <w:keepNext/>
        <w:spacing w:before="140" w:after="40"/>
      </w:pPr>
      <w:r>
        <w:t xml:space="preserve">3. Procedimiento</w:t>
      </w:r>
    </w:p>
    <w:p>
      <w:pPr>
        <w:spacing w:before="20" w:after="20"/>
        <w:ind w:left="420" w:hanging="260"/>
      </w:pPr>
      <w:r>
        <w:rPr>
          <w:color w:val="2E74B5"/>
        </w:rPr>
        <w:t xml:space="preserve">•  </w:t>
      </w:r>
      <w:r>
        <w:t xml:space="preserve">TSR = 0,72 / 0,85 = 0,847</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rPr>
          <w:b/>
        </w:rPr>
        <w:t xml:space="preserve">TSR:</w:t>
      </w:r>
      <w:r>
        <w:t xml:space="preserve"> </w:t>
      </w:r>
      <w:r>
        <w:t xml:space="preserve">84,7%</w:t>
      </w:r>
      <w:r>
        <w:t xml:space="preserve">.</w:t>
      </w:r>
    </w:p>
    <w:p>
      <w:pPr>
        <w:pStyle w:val="Heading3"/>
        <w:keepNext/>
        <w:spacing w:before="140" w:after="40"/>
      </w:pPr>
      <w:r>
        <w:t xml:space="preserve">5. Interpretación clínica</w:t>
      </w:r>
    </w:p>
    <w:p>
      <w:pPr>
        <w:spacing w:after="60"/>
        <w:ind w:left="120"/>
      </w:pPr>
      <w:r>
        <w:t xml:space="preserve">Los pacientes tienen el </w:t>
      </w:r>
      <w:r>
        <w:t xml:space="preserve">84,7%</w:t>
      </w:r>
      <w:r>
        <w:t xml:space="preserve"> de la probabilidad de supervivencia de una persona sana similar. El cáncer genera una reducción relativa de la supervivencia del </w:t>
      </w:r>
      <w:r>
        <w:t xml:space="preserve">15,3%</w:t>
      </w:r>
      <w:r>
        <w:t xml:space="preserve"> (</w:t>
      </w:r>
      <w:r>
        <w:t xml:space="preserve">100 - 84,7</w:t>
      </w:r>
      <w:r>
        <w:t xml:space="preserve">) atribuible exclusivamente a la enfermedad.</w:t>
      </w:r>
    </w:p>
    <w:p>
      <w:pPr>
        <w:pStyle w:val="Heading3"/>
        <w:keepNext/>
        <w:spacing w:before="140" w:after="40"/>
      </w:pPr>
      <w:r>
        <w:t xml:space="preserve">6. Errores comunes</w:t>
      </w:r>
    </w:p>
    <w:p>
      <w:pPr>
        <w:spacing w:before="20" w:after="20"/>
        <w:ind w:left="420" w:hanging="260"/>
      </w:pPr>
      <w:r>
        <w:rPr>
          <w:color w:val="2E74B5"/>
        </w:rPr>
        <w:t xml:space="preserve">•  </w:t>
      </w:r>
      <w:r>
        <w:t xml:space="preserve">No restar el resultado de 100 para expresar el exceso de mortalidad atribuible.</w:t>
      </w:r>
    </w:p>
    <w:p>
      <w:pPr>
        <w:pStyle w:val="Heading1"/>
        <w:keepNext/>
        <w:spacing w:before="0" w:after="120"/>
        <w:pBdr>
          <w:bottom w:val="single" w:sz="6" w:space="2" w:color="C0C0C0"/>
        </w:pBdr>
      </w:pPr>
      <w:r>
        <w:br w:type="page"/>
      </w:r>
      <w:r>
        <w:t xml:space="preserve">TEMA 5 — METANÁLISIS</w:t>
      </w:r>
    </w:p>
    <w:p>
      <w:pPr>
        <w:spacing w:after="80"/>
      </w:pPr>
      <w:r>
        <w:t xml:space="preserve">El metanálisis es la síntesis cuantitativa de resultados de estudios primarios para aumentar la potencia estadística.</w:t>
      </w:r>
    </w:p>
    <w:p>
      <w:pPr>
        <w:pStyle w:val="Heading2"/>
        <w:keepNext/>
        <w:spacing w:before="200" w:after="80"/>
      </w:pPr>
      <w:r>
        <w:t xml:space="preserve">EJERCICIO 5A: INTERPRETACIÓN DE FOREST PLOT</w:t>
      </w:r>
    </w:p>
    <w:p>
      <w:pPr>
        <w:pStyle w:val="Heading3"/>
        <w:keepNext/>
        <w:spacing w:before="140" w:after="40"/>
      </w:pPr>
      <w:r>
        <w:t xml:space="preserve">1. Enunciado</w:t>
      </w:r>
    </w:p>
    <w:p>
      <w:pPr>
        <w:spacing w:after="60"/>
        <w:ind w:left="120"/>
      </w:pPr>
      <w:r>
        <w:t xml:space="preserve">Un Forest Plot muestra un rombo cuyo estimado puntual es RR 0,76 con un intervalo de confianza (IC 95%) de 0,71 a 0,82. La línea de no efecto es 1.</w:t>
      </w:r>
    </w:p>
    <w:p>
      <w:pPr>
        <w:pStyle w:val="Heading3"/>
        <w:keepNext/>
        <w:spacing w:before="140" w:after="40"/>
      </w:pPr>
      <w:r>
        <w:t xml:space="preserve">2. Criterio</w:t>
      </w:r>
    </w:p>
    <w:p>
      <w:pPr>
        <w:spacing w:before="20" w:after="20"/>
        <w:ind w:left="420" w:hanging="260"/>
      </w:pPr>
      <w:r>
        <w:rPr>
          <w:color w:val="2E74B5"/>
        </w:rPr>
        <w:t xml:space="preserve">•  </w:t>
      </w:r>
      <w:r>
        <w:t xml:space="preserve">Si el IC 95% no cruza el 1, el resultado es estadísticamente significativo.</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Observar el IC:</w:t>
      </w:r>
      <w:r>
        <w:t xml:space="preserve"> </w:t>
      </w:r>
      <w:r>
        <w:t xml:space="preserve">(0,71 - 0,82)</w:t>
      </w:r>
      <w:r>
        <w:t xml:space="preserve">. No incluye el </w:t>
      </w:r>
      <w:r>
        <w:t xml:space="preserve">1</w:t>
      </w:r>
      <w:r>
        <w:t xml:space="preserve">.</w:t>
      </w:r>
    </w:p>
    <w:p>
      <w:pPr>
        <w:spacing w:before="20" w:after="20"/>
        <w:ind w:left="420" w:hanging="260"/>
      </w:pPr>
      <w:r>
        <w:rPr>
          <w:color w:val="2E74B5"/>
        </w:rPr>
        <w:t xml:space="preserve">•  </w:t>
      </w:r>
      <w:r>
        <w:rPr>
          <w:b/>
        </w:rPr>
        <w:t xml:space="preserve">Observar el valor:</w:t>
      </w:r>
      <w:r>
        <w:t xml:space="preserve"> </w:t>
      </w:r>
      <w:r>
        <w:t xml:space="preserve">0,76 &lt; 1</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t xml:space="preserve">Efecto protector significativo.</w:t>
      </w:r>
    </w:p>
    <w:p>
      <w:pPr>
        <w:pStyle w:val="Heading3"/>
        <w:keepNext/>
        <w:spacing w:before="140" w:after="40"/>
      </w:pPr>
      <w:r>
        <w:t xml:space="preserve">5. Interpretación clínica</w:t>
      </w:r>
    </w:p>
    <w:p>
      <w:pPr>
        <w:spacing w:after="60"/>
        <w:ind w:left="120"/>
      </w:pPr>
      <w:r>
        <w:t xml:space="preserve">La intervención reduce el riesgo en un </w:t>
      </w:r>
      <w:r>
        <w:t xml:space="preserve">24%</w:t>
      </w:r>
      <w:r>
        <w:t xml:space="preserve"> (</w:t>
      </w:r>
      <w:r>
        <w:t xml:space="preserve">1 - 0,76</w:t>
      </w:r>
      <w:r>
        <w:t xml:space="preserve">). Al no cruzar la unidad, la evidencia es sólida para confirmar el beneficio.</w:t>
      </w:r>
    </w:p>
    <w:p>
      <w:pPr>
        <w:pStyle w:val="Heading3"/>
        <w:keepNext/>
        <w:spacing w:before="140" w:after="40"/>
      </w:pPr>
      <w:r>
        <w:t xml:space="preserve">6. Errores comunes</w:t>
      </w:r>
    </w:p>
    <w:p>
      <w:pPr>
        <w:spacing w:before="20" w:after="20"/>
        <w:ind w:left="420" w:hanging="260"/>
      </w:pPr>
      <w:r>
        <w:rPr>
          <w:color w:val="2E74B5"/>
        </w:rPr>
        <w:t xml:space="preserve">•  </w:t>
      </w:r>
      <w:r>
        <w:t xml:space="preserve">Considerar significativo un resultado cuyo IC cruza el 1 (ej. 0,60 a 1,20).</w:t>
      </w:r>
    </w:p>
    <w:p>
      <w:pPr>
        <w:pStyle w:val="Heading2"/>
        <w:keepNext/>
        <w:spacing w:before="200" w:after="80"/>
      </w:pPr>
      <w:r>
        <w:t xml:space="preserve">EJERCICIO 5B: HETEROGENEIDAD (</w:t>
      </w:r>
      <w:r>
        <w:t xml:space="preserve">I</w:t>
      </w:r>
      <w:r>
        <w:rPr>
          <w:vertAlign w:val="superscript"/>
        </w:rPr>
        <w:t xml:space="preserve">2</w:t>
      </w:r>
      <w:r>
        <w:t xml:space="preserve">)</w:t>
      </w:r>
    </w:p>
    <w:p>
      <w:pPr>
        <w:pStyle w:val="Heading3"/>
        <w:keepNext/>
        <w:spacing w:before="140" w:after="40"/>
      </w:pPr>
      <w:r>
        <w:t xml:space="preserve">1. Enunciado</w:t>
      </w:r>
    </w:p>
    <w:p>
      <w:pPr>
        <w:spacing w:after="60"/>
        <w:ind w:left="120"/>
      </w:pPr>
      <w:r>
        <w:t xml:space="preserve">Un metanálisis reporta un estadístico de heterogeneidad </w:t>
      </w:r>
      <w:r>
        <w:t xml:space="preserve">I</w:t>
      </w:r>
      <w:r>
        <w:rPr>
          <w:vertAlign w:val="superscript"/>
        </w:rPr>
        <w:t xml:space="preserve">2</w:t>
      </w:r>
      <w:r>
        <w:t xml:space="preserve"> = 23%</w:t>
      </w:r>
      <w:r>
        <w:t xml:space="preserve">.</w:t>
      </w:r>
    </w:p>
    <w:p>
      <w:pPr>
        <w:pStyle w:val="Heading3"/>
        <w:keepNext/>
        <w:spacing w:before="140" w:after="40"/>
      </w:pPr>
      <w:r>
        <w:t xml:space="preserve">2. Criterio</w:t>
      </w:r>
    </w:p>
    <w:p>
      <w:pPr>
        <w:spacing w:before="20" w:after="20"/>
        <w:ind w:left="420" w:hanging="260"/>
      </w:pPr>
      <w:r>
        <w:rPr>
          <w:color w:val="2E74B5"/>
        </w:rPr>
        <w:t xml:space="preserve">•  </w:t>
      </w:r>
      <w:r>
        <w:t xml:space="preserve">0-40%</w:t>
      </w:r>
      <w:r>
        <w:t xml:space="preserve">: Baja heterogeneidad (Efectos Fijos).</w:t>
      </w:r>
    </w:p>
    <w:p>
      <w:pPr>
        <w:spacing w:before="20" w:after="20"/>
        <w:ind w:left="420" w:hanging="260"/>
      </w:pPr>
      <w:r>
        <w:rPr>
          <w:color w:val="2E74B5"/>
        </w:rPr>
        <w:t xml:space="preserve">•  </w:t>
      </w:r>
      <w:r>
        <w:t xml:space="preserve">&gt;50%</w:t>
      </w:r>
      <w:r>
        <w:t xml:space="preserve">: Heterogeneidad sustancial (Efectos Aleatorios).</w:t>
      </w:r>
    </w:p>
    <w:p>
      <w:pPr>
        <w:pStyle w:val="Heading3"/>
        <w:keepNext/>
        <w:spacing w:before="140" w:after="40"/>
      </w:pPr>
      <w:r>
        <w:t xml:space="preserve">3. Procedimiento</w:t>
      </w:r>
    </w:p>
    <w:p>
      <w:pPr>
        <w:spacing w:before="20" w:after="20"/>
        <w:ind w:left="420" w:hanging="260"/>
      </w:pPr>
      <w:r>
        <w:rPr>
          <w:color w:val="2E74B5"/>
        </w:rPr>
        <w:t xml:space="preserve">•  </w:t>
      </w:r>
      <w:r>
        <w:t xml:space="preserve">Comparar </w:t>
      </w:r>
      <w:r>
        <w:t xml:space="preserve">23%</w:t>
      </w:r>
      <w:r>
        <w:t xml:space="preserve"> con los umbrales: es menor a </w:t>
      </w:r>
      <w:r>
        <w:t xml:space="preserve">40%</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t xml:space="preserve">Heterogeneidad baja. Usar Modelo de Efectos Fijos.</w:t>
      </w:r>
    </w:p>
    <w:p>
      <w:pPr>
        <w:pStyle w:val="Heading3"/>
        <w:keepNext/>
        <w:spacing w:before="140" w:after="40"/>
      </w:pPr>
      <w:r>
        <w:t xml:space="preserve">5. Interpretación clínica</w:t>
      </w:r>
    </w:p>
    <w:p>
      <w:pPr>
        <w:spacing w:after="60"/>
        <w:ind w:left="120"/>
      </w:pPr>
      <w:r>
        <w:t xml:space="preserve">Las diferencias entre estudios se deben principalmente al azar. Los estudios son lo suficientemente similares para asumir un único efecto verdadero.</w:t>
      </w:r>
    </w:p>
    <w:p>
      <w:pPr>
        <w:pStyle w:val="Heading3"/>
        <w:keepNext/>
        <w:spacing w:before="140" w:after="40"/>
      </w:pPr>
      <w:r>
        <w:t xml:space="preserve">6. Errores comunes</w:t>
      </w:r>
    </w:p>
    <w:p>
      <w:pPr>
        <w:spacing w:before="20" w:after="20"/>
        <w:ind w:left="420" w:hanging="260"/>
      </w:pPr>
      <w:r>
        <w:rPr>
          <w:color w:val="2E74B5"/>
        </w:rPr>
        <w:t xml:space="preserve">•  </w:t>
      </w:r>
      <w:r>
        <w:t xml:space="preserve">Usar efectos fijos cuando el </w:t>
      </w:r>
      <w:r>
        <w:t xml:space="preserve">I</w:t>
      </w:r>
      <w:r>
        <w:rPr>
          <w:vertAlign w:val="superscript"/>
        </w:rPr>
        <w:t xml:space="preserve">2</w:t>
      </w:r>
      <w:r>
        <w:t xml:space="preserve"> es alto (ej. </w:t>
      </w:r>
      <w:r>
        <w:t xml:space="preserve">80%</w:t>
      </w:r>
      <w:r>
        <w:t xml:space="preserve">), lo que sobreestima la precisión.</w:t>
      </w:r>
    </w:p>
    <w:p>
      <w:pPr>
        <w:pStyle w:val="Heading2"/>
        <w:keepNext/>
        <w:spacing w:before="200" w:after="80"/>
      </w:pPr>
      <w:r>
        <w:t xml:space="preserve">EJERCICIO 5C: SESGO DE PUBLICACIÓN</w:t>
      </w:r>
    </w:p>
    <w:p>
      <w:pPr>
        <w:pStyle w:val="Heading3"/>
        <w:keepNext/>
        <w:spacing w:before="140" w:after="40"/>
      </w:pPr>
      <w:r>
        <w:t xml:space="preserve">1. Enunciado</w:t>
      </w:r>
    </w:p>
    <w:p>
      <w:pPr>
        <w:spacing w:after="60"/>
        <w:ind w:left="120"/>
      </w:pPr>
      <w:r>
        <w:t xml:space="preserve">Al evaluar el sesgo de publicación, se observa un Funnel Plot asimétrico (faltan estudios en la base izquierda). La prueba de Egger arroja un valor </w:t>
      </w:r>
      <w:r>
        <w:t xml:space="preserve">p = 0,04</w:t>
      </w:r>
      <w:r>
        <w:t xml:space="preserve">.</w:t>
      </w:r>
    </w:p>
    <w:p>
      <w:pPr>
        <w:pStyle w:val="Heading3"/>
        <w:keepNext/>
        <w:spacing w:before="140" w:after="40"/>
      </w:pPr>
      <w:r>
        <w:t xml:space="preserve">2. Criterio</w:t>
      </w:r>
    </w:p>
    <w:p>
      <w:pPr>
        <w:spacing w:before="20" w:after="20"/>
        <w:ind w:left="420" w:hanging="260"/>
      </w:pPr>
      <w:r>
        <w:rPr>
          <w:color w:val="2E74B5"/>
        </w:rPr>
        <w:t xml:space="preserve">•  </w:t>
      </w:r>
      <w:r>
        <w:t xml:space="preserve">Funnel Plot asimétrico y prueba de Egger </w:t>
      </w:r>
      <w:r>
        <w:t xml:space="preserve">p &lt; 0,10</w:t>
      </w:r>
      <w:r>
        <w:t xml:space="preserve"> indican presencia de sesgo de publicación.</w:t>
      </w:r>
    </w:p>
    <w:p>
      <w:pPr>
        <w:pStyle w:val="Heading3"/>
        <w:keepNext/>
        <w:spacing w:before="140" w:after="40"/>
      </w:pPr>
      <w:r>
        <w:t xml:space="preserve">3. Procedimiento</w:t>
      </w:r>
    </w:p>
    <w:p>
      <w:pPr>
        <w:spacing w:before="20" w:after="20"/>
        <w:ind w:left="420" w:hanging="260"/>
      </w:pPr>
      <w:r>
        <w:rPr>
          <w:color w:val="2E74B5"/>
        </w:rPr>
        <w:t xml:space="preserve">•  </w:t>
      </w:r>
      <w:r>
        <w:rPr>
          <w:b/>
        </w:rPr>
        <w:t xml:space="preserve">Analizar simetría:</w:t>
      </w:r>
      <w:r>
        <w:t xml:space="preserve"> Asimétrico.</w:t>
      </w:r>
    </w:p>
    <w:p>
      <w:pPr>
        <w:spacing w:before="20" w:after="20"/>
        <w:ind w:left="420" w:hanging="260"/>
      </w:pPr>
      <w:r>
        <w:rPr>
          <w:color w:val="2E74B5"/>
        </w:rPr>
        <w:t xml:space="preserve">•  </w:t>
      </w:r>
      <w:r>
        <w:t xml:space="preserve">Analizar </w:t>
      </w:r>
      <w:r>
        <w:t xml:space="preserve">p</w:t>
      </w:r>
      <w:r>
        <w:t xml:space="preserve"> de Egger: </w:t>
      </w:r>
      <w:r>
        <w:t xml:space="preserve">0,04 &lt; 0,10</w:t>
      </w:r>
      <w:r>
        <w:t xml:space="preserve">.</w:t>
      </w:r>
    </w:p>
    <w:p>
      <w:pPr>
        <w:pStyle w:val="Heading3"/>
        <w:keepNext/>
        <w:spacing w:before="140" w:after="40"/>
      </w:pPr>
      <w:r>
        <w:t xml:space="preserve">4. Resultado</w:t>
      </w:r>
    </w:p>
    <w:p>
      <w:pPr>
        <w:spacing w:before="20" w:after="20"/>
        <w:ind w:left="420" w:hanging="260"/>
      </w:pPr>
      <w:r>
        <w:rPr>
          <w:color w:val="2E74B5"/>
        </w:rPr>
        <w:t xml:space="preserve">•  </w:t>
      </w:r>
      <w:r>
        <w:t xml:space="preserve">Hay evidencia de Sesgo de Publicación.</w:t>
      </w:r>
    </w:p>
    <w:p>
      <w:pPr>
        <w:pStyle w:val="Heading3"/>
        <w:keepNext/>
        <w:spacing w:before="140" w:after="40"/>
      </w:pPr>
      <w:r>
        <w:t xml:space="preserve">5. Interpretación clínica</w:t>
      </w:r>
    </w:p>
    <w:p>
      <w:pPr>
        <w:spacing w:after="60"/>
        <w:ind w:left="120"/>
      </w:pPr>
      <w:r>
        <w:t xml:space="preserve">Es probable que existan estudios con resultados negativos o neutros que no fueron publicados, lo que podría estar inflando artificialmente el beneficio observado en el metanálisis.</w:t>
      </w:r>
    </w:p>
    <w:p>
      <w:pPr>
        <w:pStyle w:val="Heading3"/>
        <w:keepNext/>
        <w:spacing w:before="140" w:after="40"/>
      </w:pPr>
      <w:r>
        <w:t xml:space="preserve">6. Errores comunes</w:t>
      </w:r>
    </w:p>
    <w:p>
      <w:pPr>
        <w:spacing w:before="20" w:after="20"/>
        <w:ind w:left="420" w:hanging="260"/>
      </w:pPr>
      <w:r>
        <w:rPr>
          <w:color w:val="2E74B5"/>
        </w:rPr>
        <w:t xml:space="preserve">•  </w:t>
      </w:r>
      <w:r>
        <w:t xml:space="preserve">Asumir que un metanálisis es infalible sin revisar el Funnel Plot. Estudios con financiamiento interesado suelen omitir resultados negativos.</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20" w:line="276" w:lineRule="auto"/>
      </w:pPr>
    </w:pPrDefault>
  </w:docDefaults>
  <w:style w:type="paragraph" w:default="1" w:styleId="Normal">
    <w:name w:val="Normal"/>
  </w:style>
  <w:style w:type="paragraph" w:styleId="DocTitle">
    <w:name w:val="Document Title"/>
    <w:pPr>
      <w:spacing w:before="240" w:after="120"/>
      <w:jc w:val="center"/>
    </w:pPr>
    <w:rPr>
      <w:rFonts w:ascii="Cambria" w:hAnsi="Cambria"/>
      <w:b/>
      <w:color w:val="1F3864"/>
      <w:sz w:val="40"/>
      <w:szCs w:val="40"/>
    </w:rPr>
  </w:style>
  <w:style w:type="paragraph" w:styleId="Heading1">
    <w:name w:val="heading 1"/>
    <w:pPr>
      <w:keepNext/>
      <w:spacing w:before="240" w:after="120"/>
    </w:pPr>
    <w:rPr>
      <w:rFonts w:ascii="Cambria" w:hAnsi="Cambria"/>
      <w:b/>
      <w:color w:val="1F3864"/>
      <w:sz w:val="30"/>
      <w:szCs w:val="30"/>
    </w:rPr>
  </w:style>
  <w:style w:type="paragraph" w:styleId="Heading2">
    <w:name w:val="heading 2"/>
    <w:pPr>
      <w:keepNext/>
      <w:spacing w:before="200" w:after="80"/>
    </w:pPr>
    <w:rPr>
      <w:rFonts w:ascii="Cambria" w:hAnsi="Cambria"/>
      <w:b/>
      <w:color w:val="2E74B5"/>
      <w:sz w:val="26"/>
      <w:szCs w:val="26"/>
    </w:rPr>
  </w:style>
  <w:style w:type="paragraph" w:styleId="Heading3">
    <w:name w:val="heading 3"/>
    <w:pPr>
      <w:keepNext/>
      <w:spacing w:before="140" w:after="40"/>
    </w:pPr>
    <w:rPr>
      <w:rFonts w:ascii="Cambria" w:hAnsi="Cambria"/>
      <w:b/>
      <w:color w:val="2E74B5"/>
      <w:sz w:val="23"/>
      <w:szCs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Tratado Academico de Epidemiologia Clinica y Bioestadistica</dc:title>
  <dc:creator>Guia de Ejercicios Resueltos</dc:creator>
  <cp:lastModifiedBy>Guia de Ejercicios Resueltos</cp:lastModifiedBy>
</cp:coreProperties>
</file>