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RESUMEN ESTRUCTURADO – NIC 2 INVENTARIOS</w:t>
      </w:r>
    </w:p>
    <w:p>
      <w:pPr>
        <w:pStyle w:val="Heading1"/>
      </w:pPr>
      <w:r>
        <w:t>1. DEFINICIÓN Y ALCANCE</w:t>
      </w:r>
    </w:p>
    <w:p>
      <w:r>
        <w:t>La NIC 2 establece los criterios para el reconocimiento y medición de los inventarios. Define a los inventarios como activos mantenidos para la venta, en proceso de producción o en forma de materiales y suministros para ser consumidos en la producción o en la prestación de servicios.</w:t>
      </w:r>
    </w:p>
    <w:p>
      <w:pPr>
        <w:pStyle w:val="Heading2"/>
      </w:pPr>
      <w:r>
        <w:t>1.1 Componentes</w:t>
      </w:r>
    </w:p>
    <w:p>
      <w:pPr>
        <w:pStyle w:val="ListBullet"/>
        <w:ind w:left="0"/>
      </w:pPr>
      <w:r>
        <w:t>Mercaderías</w:t>
      </w:r>
    </w:p>
    <w:p>
      <w:pPr>
        <w:pStyle w:val="ListBullet"/>
        <w:ind w:left="0"/>
      </w:pPr>
      <w:r>
        <w:t>Productos terminados</w:t>
      </w:r>
    </w:p>
    <w:p>
      <w:pPr>
        <w:pStyle w:val="ListBullet"/>
        <w:ind w:left="0"/>
      </w:pPr>
      <w:r>
        <w:t>Productos en proceso</w:t>
      </w:r>
    </w:p>
    <w:p>
      <w:pPr>
        <w:pStyle w:val="ListBullet"/>
        <w:ind w:left="0"/>
      </w:pPr>
      <w:r>
        <w:t>Materias primas y suministros</w:t>
      </w:r>
    </w:p>
    <w:p>
      <w:pPr>
        <w:pStyle w:val="Heading1"/>
      </w:pPr>
      <w:r>
        <w:t>2. MEDICIÓN DE INVENTARIOS</w:t>
      </w:r>
    </w:p>
    <w:p>
      <w:r>
        <w:t>Los inventarios se medirán al costo o al valor neto realizable (VNR), el que resulte menor. El VNR es el precio estimado de venta en el curso normal de la operación menos los costos estimados para su terminación y los necesarios para llevar a cabo la venta.</w:t>
      </w:r>
    </w:p>
    <w:p>
      <w:pPr>
        <w:pStyle w:val="Heading1"/>
      </w:pPr>
      <w:r>
        <w:t>3. COSTO DE INVENTARIOS</w:t>
      </w:r>
    </w:p>
    <w:p>
      <w:r>
        <w:t>El costo de los inventarios comprende todos los costos de adquisición, transformación y otros costos incurridos para darles su condición y ubicación actuales.</w:t>
      </w:r>
    </w:p>
    <w:p>
      <w:pPr>
        <w:pStyle w:val="Heading2"/>
      </w:pPr>
      <w:r>
        <w:t>3.1 Costos de adquisición</w:t>
      </w:r>
    </w:p>
    <w:p>
      <w:pPr>
        <w:pStyle w:val="ListBullet"/>
        <w:ind w:left="0"/>
      </w:pPr>
      <w:r>
        <w:t>Precio de compra</w:t>
      </w:r>
    </w:p>
    <w:p>
      <w:pPr>
        <w:pStyle w:val="ListBullet"/>
        <w:ind w:left="0"/>
      </w:pPr>
      <w:r>
        <w:t>Aranceles de importación e impuestos no recuperables</w:t>
      </w:r>
    </w:p>
    <w:p>
      <w:pPr>
        <w:pStyle w:val="ListBullet"/>
        <w:ind w:left="0"/>
      </w:pPr>
      <w:r>
        <w:t>Transporte, almacenamiento y otros costos directamente atribuibles</w:t>
      </w:r>
    </w:p>
    <w:p>
      <w:pPr>
        <w:pStyle w:val="ListBullet"/>
        <w:ind w:left="0"/>
      </w:pPr>
      <w:r>
        <w:t>Menos: descuentos, rebajas y partidas similares</w:t>
      </w:r>
    </w:p>
    <w:p>
      <w:pPr>
        <w:pStyle w:val="Heading2"/>
      </w:pPr>
      <w:r>
        <w:t>3.2 Costos de transformación</w:t>
      </w:r>
    </w:p>
    <w:p>
      <w:pPr>
        <w:pStyle w:val="ListBullet"/>
        <w:ind w:left="0"/>
      </w:pPr>
      <w:r>
        <w:t>Mano de obra directa</w:t>
      </w:r>
    </w:p>
    <w:p>
      <w:pPr>
        <w:pStyle w:val="ListBullet"/>
        <w:ind w:left="0"/>
      </w:pPr>
      <w:r>
        <w:t>Costos indirectos de fabricación (fijos y variables)</w:t>
      </w:r>
    </w:p>
    <w:p>
      <w:pPr>
        <w:pStyle w:val="ListBullet"/>
        <w:ind w:left="0"/>
      </w:pPr>
      <w:r>
        <w:t>Asignación sistemática de costos indirectos</w:t>
      </w:r>
    </w:p>
    <w:p>
      <w:pPr>
        <w:pStyle w:val="Heading2"/>
      </w:pPr>
      <w:r>
        <w:t>3.3 Otros costos</w:t>
      </w:r>
    </w:p>
    <w:p>
      <w:r>
        <w:t>Se incluirán otros costos solo en la medida en que se hayan incurrido para dar a los inventarios su condición y ubicación actuales.</w:t>
      </w:r>
    </w:p>
    <w:p>
      <w:pPr>
        <w:pStyle w:val="Heading1"/>
      </w:pPr>
      <w:r>
        <w:t>4. COSTOS EXCLUIDOS</w:t>
      </w:r>
    </w:p>
    <w:p>
      <w:pPr>
        <w:pStyle w:val="ListBullet"/>
        <w:ind w:left="0"/>
      </w:pPr>
      <w:r>
        <w:t>Desperdicios anormales de materiales y mano de obra</w:t>
      </w:r>
    </w:p>
    <w:p>
      <w:pPr>
        <w:pStyle w:val="ListBullet"/>
        <w:ind w:left="0"/>
      </w:pPr>
      <w:r>
        <w:t>Costos de almacenamiento innecesarios</w:t>
      </w:r>
    </w:p>
    <w:p>
      <w:pPr>
        <w:pStyle w:val="ListBullet"/>
        <w:ind w:left="0"/>
      </w:pPr>
      <w:r>
        <w:t>Costos administrativos no atribuibles</w:t>
      </w:r>
    </w:p>
    <w:p>
      <w:pPr>
        <w:pStyle w:val="ListBullet"/>
        <w:ind w:left="0"/>
      </w:pPr>
      <w:r>
        <w:t>Costos de venta</w:t>
      </w:r>
    </w:p>
    <w:p>
      <w:pPr>
        <w:pStyle w:val="ListBullet"/>
        <w:ind w:left="0"/>
      </w:pPr>
      <w:r>
        <w:t>Costos financieros (salvo excepciones de la NIC 23)</w:t>
      </w:r>
    </w:p>
    <w:p>
      <w:pPr>
        <w:pStyle w:val="Heading1"/>
      </w:pPr>
      <w:r>
        <w:t>5. MÉTODOS DE VALUACIÓN</w:t>
      </w:r>
    </w:p>
    <w:p>
      <w:pPr>
        <w:pStyle w:val="ListBullet"/>
        <w:ind w:left="0"/>
      </w:pPr>
      <w:r>
        <w:t>FIFO (PEPS)</w:t>
      </w:r>
    </w:p>
    <w:p>
      <w:pPr>
        <w:pStyle w:val="ListBullet"/>
        <w:ind w:left="0"/>
      </w:pPr>
      <w:r>
        <w:t>Promedio ponderado</w:t>
      </w:r>
    </w:p>
    <w:p>
      <w:r>
        <w:t>El método UEPS no está permitido por la NIC 2, aunque puede estudiarse con fines académicos.</w:t>
      </w:r>
    </w:p>
    <w:p>
      <w:pPr>
        <w:pStyle w:val="Heading1"/>
      </w:pPr>
      <w:r>
        <w:t>6. VALOR NETO REALIZABLE (VNR)</w:t>
      </w:r>
    </w:p>
    <w:p>
      <w:r>
        <w:t>Se calcula como el precio estimado de venta menos los costos de terminación y venta. Si el costo excede el VNR, se reconoce una pérdida por deterioro del inventario.</w:t>
      </w:r>
    </w:p>
    <w:p>
      <w:pPr>
        <w:pStyle w:val="Heading1"/>
      </w:pPr>
      <w:r>
        <w:t>7. RECONOCIMIENTO COMO GASTO</w:t>
      </w:r>
    </w:p>
    <w:p>
      <w:r>
        <w:t>Cuando los inventarios se venden, su importe en libros se reconoce como gasto en el periodo en que se reconocen los ingresos relacionados, formando parte del costo de ventas.</w:t>
      </w:r>
    </w:p>
    <w:p>
      <w:pPr>
        <w:pStyle w:val="Heading1"/>
      </w:pPr>
      <w:r>
        <w:t>8. REVERSIÓN DE DETERIORO</w:t>
      </w:r>
    </w:p>
    <w:p>
      <w:r>
        <w:t>Si las circunstancias que causaron una rebaja de valor dejan de existir, se revierte la pérdida reconocida, sin exceder el costo original del inventario.</w:t>
      </w:r>
    </w:p>
    <w:p>
      <w:pPr>
        <w:pStyle w:val="Heading1"/>
      </w:pPr>
      <w:r>
        <w:t>9. INFORMACIÓN A REVELAR</w:t>
      </w:r>
    </w:p>
    <w:p>
      <w:pPr>
        <w:pStyle w:val="ListBullet"/>
        <w:ind w:left="0"/>
      </w:pPr>
      <w:r>
        <w:t>Políticas contables adoptadas</w:t>
      </w:r>
    </w:p>
    <w:p>
      <w:pPr>
        <w:pStyle w:val="ListBullet"/>
        <w:ind w:left="0"/>
      </w:pPr>
      <w:r>
        <w:t>Métodos de valuación utilizados</w:t>
      </w:r>
    </w:p>
    <w:p>
      <w:pPr>
        <w:pStyle w:val="ListBullet"/>
        <w:ind w:left="0"/>
      </w:pPr>
      <w:r>
        <w:t>Importe total de inventarios</w:t>
      </w:r>
    </w:p>
    <w:p>
      <w:pPr>
        <w:pStyle w:val="ListBullet"/>
        <w:ind w:left="0"/>
      </w:pPr>
      <w:r>
        <w:t>Inventarios reconocidos como gasto</w:t>
      </w:r>
    </w:p>
    <w:p>
      <w:pPr>
        <w:pStyle w:val="ListBullet"/>
        <w:ind w:left="0"/>
      </w:pPr>
      <w:r>
        <w:t>Rebajas de valor y sus reversiones</w:t>
      </w:r>
    </w:p>
    <w:p>
      <w:pPr>
        <w:pStyle w:val="ListBullet"/>
        <w:ind w:left="0"/>
      </w:pPr>
      <w:r>
        <w:t>Inventarios dados en garantía</w:t>
      </w:r>
    </w:p>
    <w:p>
      <w:pPr>
        <w:pStyle w:val="Heading1"/>
      </w:pPr>
      <w:r>
        <w:t>10. CASOS ESPECIALES</w:t>
      </w:r>
    </w:p>
    <w:p>
      <w:pPr>
        <w:pStyle w:val="ListBullet"/>
        <w:ind w:left="0"/>
      </w:pPr>
      <w:r>
        <w:t>Inventarios de prestadores de servicios</w:t>
      </w:r>
    </w:p>
    <w:p>
      <w:pPr>
        <w:pStyle w:val="ListBullet"/>
        <w:ind w:left="0"/>
      </w:pPr>
      <w:r>
        <w:t>Productos agrícolas (NIC 41)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