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Smith, Jane</w:t>
            </w:r>
          </w:p>
        </w:tc>
        <w:tc>
          <w:tcPr>
            <w:tcW w:w="2615" w:type="dxa"/>
          </w:tcPr>
          <w:p>
            <w:r>
              <w:t>456 Market Road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None</w:t>
            </w:r>
          </w:p>
        </w:tc>
        <w:tc>
          <w:tcPr>
            <w:tcW w:w="2682" w:type="dxa"/>
          </w:tcPr>
          <w:p>
            <w:r>
              <w:t>Bill No. 00006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2025-06-12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2025-06-08</w:t>
            </w:r>
          </w:p>
        </w:tc>
        <w:tc>
          <w:tcPr>
            <w:tcW w:w="2682" w:type="dxa"/>
          </w:tcPr>
          <w:p>
            <w:r>
              <w:t>200.0</w:t>
            </w:r>
          </w:p>
        </w:tc>
        <w:tc>
          <w:tcPr>
            <w:tcW w:w="2430" w:type="dxa"/>
          </w:tcPr>
          <w:p>
            <w:r>
              <w:t>210.0</w:t>
            </w:r>
          </w:p>
        </w:tc>
        <w:tc>
          <w:tcPr>
            <w:tcW w:w="2615" w:type="dxa"/>
          </w:tcPr>
          <w:p>
            <w:r>
              <w:t>10.00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₱150.00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 xml:space="preserve">1 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>2 ✓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 xml:space="preserve">4 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₱150.0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